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Theme="minorEastAsia" w:hAnsiTheme="minorEastAsia" w:eastAsiaTheme="minorEastAsia"/>
          <w:b/>
          <w:sz w:val="28"/>
        </w:rPr>
      </w:pPr>
      <w:bookmarkStart w:id="0" w:name="_Toc15998"/>
      <w:bookmarkStart w:id="1" w:name="_Toc10891"/>
      <w:r>
        <w:rPr>
          <w:rFonts w:hint="eastAsia" w:asciiTheme="minorEastAsia" w:hAnsiTheme="minorEastAsia" w:eastAsiaTheme="minorEastAsia"/>
          <w:b/>
          <w:sz w:val="28"/>
        </w:rPr>
        <w:t>第三章  采购需求</w:t>
      </w:r>
      <w:bookmarkEnd w:id="0"/>
      <w:bookmarkEnd w:id="1"/>
    </w:p>
    <w:p>
      <w:pPr>
        <w:spacing w:line="360" w:lineRule="auto"/>
        <w:rPr>
          <w:rFonts w:asciiTheme="minorEastAsia" w:hAnsiTheme="minorEastAsia" w:eastAsiaTheme="minorEastAsia"/>
          <w:b/>
          <w:sz w:val="24"/>
        </w:rPr>
      </w:pPr>
      <w:r>
        <w:rPr>
          <w:rFonts w:hint="eastAsia" w:asciiTheme="minorEastAsia" w:hAnsiTheme="minorEastAsia" w:eastAsiaTheme="minorEastAsia"/>
          <w:b/>
          <w:sz w:val="24"/>
        </w:rPr>
        <w:t>前注：</w:t>
      </w:r>
    </w:p>
    <w:p>
      <w:pPr>
        <w:spacing w:line="360" w:lineRule="auto"/>
        <w:ind w:firstLine="435"/>
        <w:rPr>
          <w:rFonts w:ascii="宋体" w:hAnsi="宋体" w:eastAsia="宋体"/>
          <w:sz w:val="24"/>
          <w:szCs w:val="18"/>
        </w:rPr>
      </w:pPr>
      <w:r>
        <w:rPr>
          <w:rFonts w:hint="eastAsia" w:asciiTheme="minorEastAsia" w:hAnsiTheme="minorEastAsia" w:eastAsiaTheme="minorEastAsia"/>
          <w:sz w:val="24"/>
        </w:rPr>
        <w:t>1.</w:t>
      </w:r>
      <w:r>
        <w:rPr>
          <w:rFonts w:ascii="宋体" w:hAnsi="宋体" w:eastAsia="宋体"/>
          <w:sz w:val="24"/>
          <w:szCs w:val="18"/>
        </w:rPr>
        <w:t>根据《</w:t>
      </w:r>
      <w:r>
        <w:rPr>
          <w:rFonts w:hint="eastAsia" w:ascii="宋体" w:hAnsi="宋体" w:eastAsia="宋体"/>
          <w:sz w:val="24"/>
          <w:szCs w:val="18"/>
        </w:rPr>
        <w:t>政府采购进口产品管理办法</w:t>
      </w:r>
      <w:r>
        <w:rPr>
          <w:rFonts w:ascii="宋体" w:hAnsi="宋体" w:eastAsia="宋体"/>
          <w:sz w:val="24"/>
          <w:szCs w:val="18"/>
        </w:rPr>
        <w:t>》及政府采购管理部门的相关规定，下列采购需求中</w:t>
      </w:r>
      <w:r>
        <w:rPr>
          <w:rFonts w:hint="eastAsia" w:ascii="宋体" w:hAnsi="宋体" w:eastAsia="宋体"/>
          <w:sz w:val="24"/>
          <w:szCs w:val="18"/>
        </w:rPr>
        <w:t>标注进口产品的货物均</w:t>
      </w:r>
      <w:r>
        <w:rPr>
          <w:rFonts w:ascii="宋体" w:hAnsi="宋体" w:eastAsia="宋体"/>
          <w:sz w:val="24"/>
          <w:szCs w:val="18"/>
        </w:rPr>
        <w:t>已履行相关论证手续，经核准采购进口</w:t>
      </w:r>
      <w:r>
        <w:rPr>
          <w:rFonts w:hint="eastAsia" w:ascii="宋体" w:hAnsi="宋体" w:eastAsia="宋体"/>
          <w:sz w:val="24"/>
          <w:szCs w:val="18"/>
        </w:rPr>
        <w:t>产品</w:t>
      </w:r>
      <w:r>
        <w:rPr>
          <w:rFonts w:ascii="宋体" w:hAnsi="宋体" w:eastAsia="宋体"/>
          <w:sz w:val="24"/>
          <w:szCs w:val="18"/>
        </w:rPr>
        <w:t>，但不限制满足招标文件要求的国内产品参与竞争</w:t>
      </w:r>
      <w:r>
        <w:rPr>
          <w:rFonts w:hint="eastAsia" w:ascii="宋体" w:hAnsi="宋体" w:eastAsia="宋体"/>
          <w:sz w:val="24"/>
          <w:szCs w:val="18"/>
        </w:rPr>
        <w:t>。未标注进口产品的货物均</w:t>
      </w:r>
      <w:r>
        <w:rPr>
          <w:rFonts w:ascii="宋体" w:hAnsi="宋体" w:eastAsia="宋体"/>
          <w:sz w:val="24"/>
          <w:szCs w:val="18"/>
        </w:rPr>
        <w:t>为拒绝采购进口产品</w:t>
      </w:r>
      <w:r>
        <w:rPr>
          <w:rFonts w:hint="eastAsia" w:ascii="宋体" w:hAnsi="宋体" w:eastAsia="宋体"/>
          <w:sz w:val="24"/>
          <w:szCs w:val="18"/>
        </w:rPr>
        <w:t>。</w:t>
      </w:r>
    </w:p>
    <w:p>
      <w:pPr>
        <w:spacing w:line="360" w:lineRule="auto"/>
        <w:ind w:firstLine="435"/>
        <w:rPr>
          <w:rFonts w:ascii="宋体" w:hAnsi="宋体" w:eastAsia="宋体"/>
          <w:sz w:val="24"/>
          <w:szCs w:val="18"/>
        </w:rPr>
      </w:pPr>
      <w:r>
        <w:rPr>
          <w:rFonts w:hint="eastAsia" w:ascii="宋体" w:hAnsi="宋体" w:eastAsia="宋体"/>
          <w:sz w:val="24"/>
          <w:szCs w:val="18"/>
        </w:rPr>
        <w:t>2.</w:t>
      </w:r>
      <w:r>
        <w:rPr>
          <w:rFonts w:ascii="宋体" w:hAnsi="宋体" w:eastAsia="宋体" w:cs="宋体"/>
          <w:sz w:val="24"/>
          <w:szCs w:val="24"/>
        </w:rPr>
        <w:t>政府采购政策（包括但不限于下列具体政策要求</w:t>
      </w:r>
      <w:r>
        <w:rPr>
          <w:rFonts w:hint="eastAsia" w:ascii="宋体" w:hAnsi="宋体" w:eastAsia="宋体" w:cs="宋体"/>
          <w:sz w:val="24"/>
          <w:szCs w:val="24"/>
        </w:rPr>
        <w:t>）</w:t>
      </w:r>
      <w:r>
        <w:rPr>
          <w:rFonts w:hint="eastAsia" w:ascii="宋体" w:hAnsi="宋体" w:eastAsia="宋体"/>
          <w:sz w:val="24"/>
          <w:szCs w:val="18"/>
        </w:rPr>
        <w:t>：</w:t>
      </w:r>
      <w:bookmarkStart w:id="21" w:name="_GoBack"/>
      <w:bookmarkEnd w:id="21"/>
    </w:p>
    <w:p>
      <w:pPr>
        <w:spacing w:line="360" w:lineRule="auto"/>
        <w:ind w:firstLine="435"/>
        <w:rPr>
          <w:rFonts w:ascii="宋体" w:hAnsi="宋体" w:eastAsia="宋体" w:cs="宋体"/>
          <w:sz w:val="24"/>
          <w:szCs w:val="24"/>
        </w:rPr>
      </w:pPr>
      <w:r>
        <w:rPr>
          <w:rFonts w:hint="eastAsia" w:ascii="宋体" w:hAnsi="宋体" w:eastAsia="宋体" w:cs="宋体"/>
          <w:sz w:val="24"/>
          <w:szCs w:val="24"/>
        </w:rPr>
        <w:t>（1）如属于《节能产品政府采购品目清单》中政府强制采购的节能产品，则投标人所投产品须具有市场监管总局公布的《参与实施政府采购节能产品认证机构目录》中的认证机构出具的、处于有效期内的节能产品认证证书。</w:t>
      </w:r>
    </w:p>
    <w:p>
      <w:pPr>
        <w:spacing w:line="360" w:lineRule="auto"/>
        <w:ind w:firstLine="435"/>
        <w:rPr>
          <w:rFonts w:ascii="宋体" w:hAnsi="宋体" w:eastAsia="宋体" w:cs="宋体"/>
          <w:sz w:val="24"/>
          <w:szCs w:val="24"/>
        </w:rPr>
      </w:pPr>
      <w:r>
        <w:rPr>
          <w:rFonts w:hint="eastAsia" w:ascii="宋体" w:hAnsi="宋体" w:eastAsia="宋体" w:cs="宋体"/>
          <w:sz w:val="24"/>
          <w:szCs w:val="24"/>
        </w:rPr>
        <w:t>依据《环境标志产品政府采购目录》与《节能产品政府采购品目清单》</w:t>
      </w:r>
    </w:p>
    <w:p>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本项目强制采购清单为：</w:t>
      </w:r>
      <w:permStart w:id="0" w:edGrp="everyone"/>
      <w:r>
        <w:rPr>
          <w:rFonts w:hint="eastAsia" w:ascii="宋体" w:hAnsi="宋体" w:eastAsia="宋体" w:cs="宋体"/>
          <w:sz w:val="24"/>
          <w:szCs w:val="24"/>
          <w:u w:val="single"/>
        </w:rPr>
        <w:t>学生学习终端、教师教学终端、教师移动终端、学生移动终端、管理终端、返看显示器。</w:t>
      </w:r>
    </w:p>
    <w:p>
      <w:pPr>
        <w:spacing w:line="360" w:lineRule="auto"/>
        <w:ind w:firstLine="435"/>
        <w:rPr>
          <w:rFonts w:ascii="宋体" w:hAnsi="宋体" w:eastAsia="宋体" w:cs="宋体"/>
          <w:sz w:val="24"/>
          <w:szCs w:val="24"/>
        </w:rPr>
      </w:pPr>
      <w:r>
        <w:rPr>
          <w:rFonts w:hint="eastAsia" w:ascii="宋体" w:hAnsi="宋体" w:eastAsia="宋体" w:cs="宋体"/>
          <w:color w:val="000000"/>
          <w:sz w:val="24"/>
          <w:szCs w:val="24"/>
        </w:rPr>
        <w:t>供应商需提供国家确定的认证机构出具的、处于有效期之内的节能产品认证证书，否则其响应文件无效。</w:t>
      </w:r>
      <w:permEnd w:id="0"/>
    </w:p>
    <w:p>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优先采购清单为：</w:t>
      </w:r>
      <w:permStart w:id="1" w:edGrp="everyone"/>
      <w:r>
        <w:rPr>
          <w:rFonts w:hint="eastAsia" w:ascii="宋体" w:hAnsi="宋体" w:eastAsia="宋体" w:cs="宋体"/>
          <w:sz w:val="24"/>
          <w:szCs w:val="24"/>
          <w:u w:val="single"/>
        </w:rPr>
        <w:t>管理服务器、渲染服务器、数据库服务器、应用服务器；学生学习终端、教师教学终端、教师教学终端、学生移动终端、管理终端、返看显示器；控制台桌、教师桌、学生电脑桌。</w:t>
      </w:r>
    </w:p>
    <w:p>
      <w:pPr>
        <w:pStyle w:val="2"/>
        <w:ind w:firstLine="480"/>
      </w:pPr>
      <w:r>
        <w:rPr>
          <w:rFonts w:hint="eastAsia" w:ascii="宋体" w:hAnsi="宋体" w:eastAsia="宋体" w:cs="宋体"/>
          <w:color w:val="000000"/>
          <w:sz w:val="24"/>
          <w:szCs w:val="24"/>
        </w:rPr>
        <w:t>供应商需提供国家确定的认证机构出具的、处于有效期之内的节能产品或环境标志产品认证证书，对于提供节能产品、环境标志产品部分的总价给予</w:t>
      </w:r>
      <w:r>
        <w:rPr>
          <w:rFonts w:hint="eastAsia" w:ascii="宋体" w:hAnsi="宋体" w:eastAsia="宋体" w:cs="宋体"/>
          <w:color w:val="000000"/>
          <w:sz w:val="24"/>
          <w:szCs w:val="24"/>
          <w:u w:val="single"/>
        </w:rPr>
        <w:t>3%</w:t>
      </w:r>
      <w:r>
        <w:rPr>
          <w:rFonts w:hint="eastAsia" w:ascii="宋体" w:hAnsi="宋体" w:eastAsia="宋体" w:cs="宋体"/>
          <w:color w:val="000000"/>
          <w:sz w:val="24"/>
          <w:szCs w:val="24"/>
        </w:rPr>
        <w:t>的扣除，未提供的不享受报价评审扣除。</w:t>
      </w:r>
    </w:p>
    <w:permEnd w:id="1"/>
    <w:p>
      <w:pPr>
        <w:spacing w:line="360" w:lineRule="auto"/>
        <w:ind w:firstLine="435"/>
        <w:rPr>
          <w:rFonts w:ascii="宋体" w:hAnsi="宋体" w:eastAsia="宋体" w:cs="宋体"/>
          <w:sz w:val="24"/>
          <w:szCs w:val="24"/>
        </w:rPr>
      </w:pPr>
      <w:r>
        <w:rPr>
          <w:rFonts w:hint="eastAsia" w:ascii="宋体" w:hAnsi="宋体" w:eastAsia="宋体" w:cs="宋体"/>
          <w:sz w:val="24"/>
          <w:szCs w:val="24"/>
        </w:rPr>
        <w:t>（2）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p>
      <w:pPr>
        <w:spacing w:line="360" w:lineRule="auto"/>
        <w:ind w:firstLine="435"/>
      </w:pPr>
      <w:r>
        <w:rPr>
          <w:rFonts w:hint="eastAsia" w:ascii="宋体" w:hAnsi="宋体" w:eastAsia="宋体" w:cs="宋体"/>
          <w:sz w:val="24"/>
          <w:szCs w:val="24"/>
        </w:rPr>
        <w:t>3.</w:t>
      </w:r>
      <w:r>
        <w:rPr>
          <w:rFonts w:hint="eastAsia" w:ascii="宋体" w:hAnsi="宋体" w:eastAsia="宋体"/>
          <w:sz w:val="24"/>
          <w:szCs w:val="18"/>
        </w:rPr>
        <w:t>如采购人允许采用分包方式履行合同的，应当明确可以分包履行的相关内容。</w:t>
      </w:r>
    </w:p>
    <w:p>
      <w:pPr>
        <w:spacing w:line="360" w:lineRule="auto"/>
        <w:ind w:firstLine="437"/>
        <w:outlineLvl w:val="1"/>
        <w:rPr>
          <w:rFonts w:ascii="宋体" w:hAnsi="宋体" w:eastAsia="宋体"/>
          <w:b/>
          <w:sz w:val="24"/>
          <w:szCs w:val="18"/>
        </w:rPr>
      </w:pPr>
      <w:bookmarkStart w:id="2" w:name="_Toc32440"/>
      <w:bookmarkStart w:id="3" w:name="_Toc32151"/>
      <w:bookmarkStart w:id="4" w:name="_Toc2554"/>
      <w:r>
        <w:rPr>
          <w:rFonts w:hint="eastAsia" w:ascii="宋体" w:hAnsi="宋体" w:eastAsia="宋体"/>
          <w:b/>
          <w:sz w:val="24"/>
          <w:szCs w:val="18"/>
        </w:rPr>
        <w:t>一、采购需求前附表</w:t>
      </w:r>
      <w:bookmarkEnd w:id="2"/>
      <w:bookmarkEnd w:id="3"/>
      <w:bookmarkEnd w:id="4"/>
    </w:p>
    <w:tbl>
      <w:tblPr>
        <w:tblStyle w:val="3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32"/>
        <w:gridCol w:w="5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
                <w:kern w:val="2"/>
              </w:rPr>
            </w:pPr>
            <w:permStart w:id="2" w:edGrp="everyone"/>
            <w:r>
              <w:rPr>
                <w:rFonts w:hint="eastAsia" w:ascii="宋体" w:hAnsi="宋体" w:eastAsia="宋体"/>
                <w:b/>
                <w:kern w:val="2"/>
              </w:rPr>
              <w:t>序号</w:t>
            </w:r>
          </w:p>
        </w:tc>
        <w:tc>
          <w:tcPr>
            <w:tcW w:w="2032" w:type="dxa"/>
            <w:vAlign w:val="center"/>
          </w:tcPr>
          <w:p>
            <w:pPr>
              <w:pStyle w:val="53"/>
              <w:widowControl w:val="0"/>
              <w:spacing w:before="0" w:beforeAutospacing="0" w:after="0" w:afterAutospacing="0" w:line="360" w:lineRule="auto"/>
              <w:rPr>
                <w:rFonts w:ascii="宋体" w:hAnsi="宋体" w:eastAsia="宋体"/>
                <w:bCs w:val="0"/>
                <w:sz w:val="24"/>
              </w:rPr>
            </w:pPr>
            <w:r>
              <w:rPr>
                <w:rFonts w:hint="eastAsia" w:ascii="宋体" w:hAnsi="宋体" w:eastAsia="宋体"/>
                <w:bCs w:val="0"/>
                <w:sz w:val="24"/>
              </w:rPr>
              <w:t>条款名称</w:t>
            </w:r>
          </w:p>
        </w:tc>
        <w:tc>
          <w:tcPr>
            <w:tcW w:w="5483" w:type="dxa"/>
            <w:vAlign w:val="center"/>
          </w:tcPr>
          <w:p>
            <w:pPr>
              <w:pStyle w:val="53"/>
              <w:widowControl w:val="0"/>
              <w:spacing w:before="0" w:beforeAutospacing="0" w:after="0" w:afterAutospacing="0" w:line="360" w:lineRule="auto"/>
              <w:rPr>
                <w:rFonts w:ascii="宋体" w:hAnsi="宋体" w:eastAsia="宋体"/>
                <w:bCs w:val="0"/>
                <w:sz w:val="24"/>
              </w:rPr>
            </w:pPr>
            <w:r>
              <w:rPr>
                <w:rFonts w:hint="eastAsia" w:ascii="宋体" w:hAnsi="宋体" w:eastAsia="宋体"/>
                <w:bCs w:val="0"/>
                <w:sz w:val="24"/>
              </w:rPr>
              <w:t>内容、说明与要求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Cs/>
                <w:kern w:val="2"/>
              </w:rPr>
            </w:pPr>
            <w:r>
              <w:rPr>
                <w:rFonts w:hint="eastAsia" w:ascii="宋体" w:hAnsi="宋体" w:eastAsia="宋体"/>
                <w:bCs/>
                <w:kern w:val="2"/>
              </w:rPr>
              <w:t>1</w:t>
            </w:r>
          </w:p>
        </w:tc>
        <w:tc>
          <w:tcPr>
            <w:tcW w:w="2032" w:type="dxa"/>
            <w:vAlign w:val="center"/>
          </w:tcPr>
          <w:p>
            <w:pPr>
              <w:pStyle w:val="53"/>
              <w:widowControl w:val="0"/>
              <w:spacing w:before="0" w:beforeAutospacing="0" w:after="0" w:afterAutospacing="0" w:line="360" w:lineRule="auto"/>
              <w:rPr>
                <w:rFonts w:ascii="宋体" w:hAnsi="宋体" w:eastAsia="宋体"/>
                <w:b w:val="0"/>
                <w:sz w:val="24"/>
              </w:rPr>
            </w:pPr>
            <w:r>
              <w:rPr>
                <w:rFonts w:hint="eastAsia" w:ascii="宋体" w:hAnsi="宋体" w:eastAsia="宋体"/>
                <w:b w:val="0"/>
                <w:sz w:val="24"/>
              </w:rPr>
              <w:t>付款方式</w:t>
            </w:r>
          </w:p>
        </w:tc>
        <w:tc>
          <w:tcPr>
            <w:tcW w:w="5483" w:type="dxa"/>
            <w:vAlign w:val="center"/>
          </w:tcPr>
          <w:p>
            <w:pPr>
              <w:pStyle w:val="53"/>
              <w:widowControl w:val="0"/>
              <w:spacing w:before="0" w:beforeAutospacing="0" w:after="0" w:afterAutospacing="0" w:line="360" w:lineRule="auto"/>
              <w:jc w:val="both"/>
              <w:rPr>
                <w:rFonts w:ascii="宋体" w:hAnsi="宋体" w:eastAsia="宋体"/>
                <w:b w:val="0"/>
                <w:sz w:val="24"/>
                <w:u w:val="single"/>
              </w:rPr>
            </w:pPr>
            <w:r>
              <w:rPr>
                <w:rFonts w:hint="eastAsia" w:ascii="宋体" w:hAnsi="宋体" w:eastAsia="宋体"/>
                <w:b w:val="0"/>
                <w:sz w:val="24"/>
                <w:u w:val="single"/>
              </w:rPr>
              <w:t>本项目预付款 40%。供应商提供相应的预付款保函或其他担保措施后，在相关担保措施生效以及具备实施条件后 5 个工作日内支付。货到采购人指定地点安装调试完毕并经验收合格后，在收到供应商发票 7 个工作日内，付至合同金额的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Cs/>
                <w:kern w:val="2"/>
              </w:rPr>
            </w:pPr>
            <w:r>
              <w:rPr>
                <w:rFonts w:hint="eastAsia" w:ascii="宋体" w:hAnsi="宋体" w:eastAsia="宋体"/>
                <w:bCs/>
                <w:kern w:val="2"/>
              </w:rPr>
              <w:t>2</w:t>
            </w:r>
          </w:p>
        </w:tc>
        <w:tc>
          <w:tcPr>
            <w:tcW w:w="2032" w:type="dxa"/>
            <w:vAlign w:val="center"/>
          </w:tcPr>
          <w:p>
            <w:pPr>
              <w:pStyle w:val="53"/>
              <w:widowControl w:val="0"/>
              <w:spacing w:before="0" w:beforeAutospacing="0" w:after="0" w:afterAutospacing="0" w:line="360" w:lineRule="auto"/>
              <w:rPr>
                <w:rFonts w:ascii="宋体" w:hAnsi="宋体" w:eastAsia="宋体"/>
                <w:b w:val="0"/>
                <w:sz w:val="24"/>
              </w:rPr>
            </w:pPr>
            <w:r>
              <w:rPr>
                <w:rFonts w:hint="eastAsia" w:ascii="宋体" w:hAnsi="宋体" w:eastAsia="宋体"/>
                <w:b w:val="0"/>
                <w:sz w:val="24"/>
              </w:rPr>
              <w:t>供货及安装地点</w:t>
            </w:r>
          </w:p>
        </w:tc>
        <w:tc>
          <w:tcPr>
            <w:tcW w:w="5483" w:type="dxa"/>
            <w:vAlign w:val="center"/>
          </w:tcPr>
          <w:p>
            <w:pPr>
              <w:pStyle w:val="53"/>
              <w:widowControl w:val="0"/>
              <w:spacing w:before="0" w:beforeAutospacing="0" w:after="0" w:afterAutospacing="0" w:line="360" w:lineRule="auto"/>
              <w:jc w:val="both"/>
              <w:rPr>
                <w:rFonts w:ascii="宋体" w:hAnsi="宋体" w:eastAsia="宋体"/>
                <w:b w:val="0"/>
                <w:sz w:val="24"/>
              </w:rPr>
            </w:pPr>
            <w:r>
              <w:rPr>
                <w:rFonts w:hint="eastAsia" w:ascii="宋体" w:hAnsi="宋体" w:eastAsia="宋体"/>
                <w:b w:val="0"/>
                <w:sz w:val="24"/>
                <w:u w:val="singl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Cs/>
                <w:kern w:val="2"/>
              </w:rPr>
            </w:pPr>
            <w:r>
              <w:rPr>
                <w:rFonts w:hint="eastAsia" w:ascii="宋体" w:hAnsi="宋体" w:eastAsia="宋体"/>
                <w:bCs/>
                <w:kern w:val="2"/>
              </w:rPr>
              <w:t>3</w:t>
            </w:r>
          </w:p>
        </w:tc>
        <w:tc>
          <w:tcPr>
            <w:tcW w:w="2032" w:type="dxa"/>
            <w:vAlign w:val="center"/>
          </w:tcPr>
          <w:p>
            <w:pPr>
              <w:pStyle w:val="53"/>
              <w:widowControl w:val="0"/>
              <w:spacing w:before="0" w:beforeAutospacing="0" w:after="0" w:afterAutospacing="0" w:line="360" w:lineRule="auto"/>
              <w:rPr>
                <w:rFonts w:ascii="宋体" w:hAnsi="宋体" w:eastAsia="宋体"/>
                <w:b w:val="0"/>
                <w:sz w:val="24"/>
              </w:rPr>
            </w:pPr>
            <w:r>
              <w:rPr>
                <w:rFonts w:hint="eastAsia" w:ascii="宋体" w:hAnsi="宋体" w:eastAsia="宋体"/>
                <w:b w:val="0"/>
                <w:sz w:val="24"/>
              </w:rPr>
              <w:t>供货及安装期限</w:t>
            </w:r>
          </w:p>
        </w:tc>
        <w:tc>
          <w:tcPr>
            <w:tcW w:w="5483" w:type="dxa"/>
            <w:vAlign w:val="center"/>
          </w:tcPr>
          <w:p>
            <w:pPr>
              <w:pStyle w:val="53"/>
              <w:widowControl w:val="0"/>
              <w:spacing w:before="0" w:beforeAutospacing="0" w:after="0" w:afterAutospacing="0" w:line="360" w:lineRule="auto"/>
              <w:jc w:val="both"/>
              <w:rPr>
                <w:rFonts w:ascii="宋体" w:hAnsi="宋体" w:eastAsia="宋体"/>
                <w:b w:val="0"/>
                <w:sz w:val="24"/>
              </w:rPr>
            </w:pPr>
            <w:r>
              <w:rPr>
                <w:rFonts w:hint="eastAsia" w:ascii="宋体" w:hAnsi="宋体" w:eastAsia="宋体"/>
                <w:b w:val="0"/>
                <w:sz w:val="24"/>
                <w:u w:val="single"/>
              </w:rPr>
              <w:t>自合同签订并接到采购人供货通知之日起 60 个日历日内供货安装调试完毕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Cs/>
                <w:kern w:val="2"/>
              </w:rPr>
            </w:pPr>
            <w:r>
              <w:rPr>
                <w:rFonts w:hint="eastAsia" w:ascii="宋体" w:hAnsi="宋体" w:eastAsia="宋体"/>
                <w:bCs/>
                <w:kern w:val="2"/>
              </w:rPr>
              <w:t>4</w:t>
            </w:r>
          </w:p>
        </w:tc>
        <w:tc>
          <w:tcPr>
            <w:tcW w:w="2032" w:type="dxa"/>
            <w:vAlign w:val="center"/>
          </w:tcPr>
          <w:p>
            <w:pPr>
              <w:pStyle w:val="53"/>
              <w:widowControl w:val="0"/>
              <w:spacing w:before="0" w:beforeAutospacing="0" w:after="0" w:afterAutospacing="0" w:line="360" w:lineRule="auto"/>
              <w:rPr>
                <w:rFonts w:ascii="宋体" w:hAnsi="宋体" w:eastAsia="宋体"/>
                <w:b w:val="0"/>
                <w:sz w:val="24"/>
              </w:rPr>
            </w:pPr>
            <w:r>
              <w:rPr>
                <w:rFonts w:hint="eastAsia" w:ascii="宋体" w:hAnsi="宋体" w:eastAsia="宋体"/>
                <w:b w:val="0"/>
                <w:sz w:val="24"/>
              </w:rPr>
              <w:t>免费质保期</w:t>
            </w:r>
          </w:p>
        </w:tc>
        <w:tc>
          <w:tcPr>
            <w:tcW w:w="5483" w:type="dxa"/>
            <w:vAlign w:val="center"/>
          </w:tcPr>
          <w:p>
            <w:pPr>
              <w:pStyle w:val="53"/>
              <w:widowControl w:val="0"/>
              <w:spacing w:before="0" w:beforeAutospacing="0" w:after="0" w:afterAutospacing="0" w:line="360" w:lineRule="auto"/>
              <w:jc w:val="both"/>
              <w:rPr>
                <w:rFonts w:ascii="宋体" w:hAnsi="宋体" w:eastAsia="宋体"/>
                <w:b w:val="0"/>
                <w:sz w:val="24"/>
              </w:rPr>
            </w:pPr>
            <w:r>
              <w:rPr>
                <w:rFonts w:hint="eastAsia" w:ascii="宋体" w:hAnsi="宋体" w:eastAsia="宋体"/>
                <w:b w:val="0"/>
                <w:sz w:val="24"/>
                <w:u w:val="single"/>
              </w:rPr>
              <w:t>验收合格并交付使用之日起免费质保期 5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1007" w:type="dxa"/>
            <w:vAlign w:val="center"/>
          </w:tcPr>
          <w:p>
            <w:pPr>
              <w:pStyle w:val="54"/>
              <w:pBdr>
                <w:bottom w:val="none" w:color="auto" w:sz="0" w:space="0"/>
              </w:pBdr>
              <w:tabs>
                <w:tab w:val="clear" w:pos="4153"/>
                <w:tab w:val="clear" w:pos="8306"/>
              </w:tabs>
              <w:adjustRightInd/>
              <w:spacing w:line="240" w:lineRule="auto"/>
              <w:textAlignment w:val="auto"/>
              <w:rPr>
                <w:rFonts w:ascii="宋体" w:hAnsi="宋体" w:eastAsia="宋体"/>
                <w:bCs/>
                <w:kern w:val="2"/>
              </w:rPr>
            </w:pPr>
            <w:r>
              <w:rPr>
                <w:rFonts w:hint="eastAsia" w:ascii="宋体" w:hAnsi="宋体" w:eastAsia="宋体"/>
                <w:bCs/>
                <w:kern w:val="2"/>
              </w:rPr>
              <w:t>5</w:t>
            </w:r>
          </w:p>
        </w:tc>
        <w:tc>
          <w:tcPr>
            <w:tcW w:w="2032" w:type="dxa"/>
            <w:vAlign w:val="center"/>
          </w:tcPr>
          <w:p>
            <w:pPr>
              <w:pStyle w:val="53"/>
              <w:widowControl w:val="0"/>
              <w:spacing w:before="0" w:beforeAutospacing="0" w:after="0" w:afterAutospacing="0" w:line="360" w:lineRule="auto"/>
              <w:rPr>
                <w:rFonts w:ascii="宋体" w:hAnsi="宋体" w:eastAsia="宋体"/>
                <w:b w:val="0"/>
                <w:sz w:val="24"/>
              </w:rPr>
            </w:pPr>
            <w:r>
              <w:rPr>
                <w:rFonts w:hint="eastAsia" w:ascii="宋体" w:hAnsi="宋体" w:eastAsia="宋体"/>
                <w:b w:val="0"/>
                <w:sz w:val="24"/>
              </w:rPr>
              <w:t>核心产品</w:t>
            </w:r>
          </w:p>
        </w:tc>
        <w:tc>
          <w:tcPr>
            <w:tcW w:w="5483" w:type="dxa"/>
            <w:vAlign w:val="center"/>
          </w:tcPr>
          <w:p>
            <w:pPr>
              <w:pStyle w:val="53"/>
              <w:widowControl w:val="0"/>
              <w:spacing w:before="0" w:beforeAutospacing="0" w:after="0" w:afterAutospacing="0" w:line="360" w:lineRule="auto"/>
              <w:jc w:val="both"/>
              <w:rPr>
                <w:rFonts w:ascii="宋体" w:hAnsi="宋体" w:eastAsia="宋体"/>
                <w:b w:val="0"/>
                <w:sz w:val="24"/>
              </w:rPr>
            </w:pPr>
            <w:r>
              <w:rPr>
                <w:rFonts w:hint="eastAsia" w:ascii="宋体" w:hAnsi="宋体" w:eastAsia="宋体"/>
                <w:b w:val="0"/>
                <w:sz w:val="24"/>
                <w:u w:val="single"/>
              </w:rPr>
              <w:t>学生学习终端</w:t>
            </w:r>
          </w:p>
        </w:tc>
      </w:tr>
      <w:permEnd w:id="2"/>
    </w:tbl>
    <w:p>
      <w:pPr>
        <w:spacing w:line="360" w:lineRule="auto"/>
        <w:ind w:firstLine="437"/>
        <w:outlineLvl w:val="1"/>
        <w:rPr>
          <w:rFonts w:ascii="宋体" w:hAnsi="宋体" w:eastAsia="宋体"/>
          <w:b/>
          <w:bCs/>
          <w:sz w:val="24"/>
          <w:szCs w:val="18"/>
        </w:rPr>
      </w:pPr>
      <w:bookmarkStart w:id="5" w:name="_Toc5944"/>
      <w:bookmarkStart w:id="6" w:name="_Toc632"/>
      <w:bookmarkStart w:id="7" w:name="_Toc7671"/>
      <w:r>
        <w:rPr>
          <w:rFonts w:hint="eastAsia" w:ascii="宋体" w:hAnsi="宋体" w:eastAsia="宋体"/>
          <w:b/>
          <w:bCs/>
          <w:sz w:val="24"/>
          <w:szCs w:val="18"/>
        </w:rPr>
        <w:t>二、</w:t>
      </w:r>
      <w:r>
        <w:rPr>
          <w:rFonts w:hint="eastAsia" w:ascii="宋体" w:hAnsi="宋体" w:eastAsia="宋体"/>
          <w:b/>
          <w:sz w:val="24"/>
          <w:szCs w:val="18"/>
        </w:rPr>
        <w:t>货物</w:t>
      </w:r>
      <w:r>
        <w:rPr>
          <w:rFonts w:hint="eastAsia" w:ascii="宋体" w:hAnsi="宋体" w:eastAsia="宋体"/>
          <w:b/>
          <w:bCs/>
          <w:sz w:val="24"/>
          <w:szCs w:val="18"/>
        </w:rPr>
        <w:t>需求</w:t>
      </w:r>
      <w:bookmarkEnd w:id="5"/>
      <w:bookmarkEnd w:id="6"/>
      <w:bookmarkEnd w:id="7"/>
    </w:p>
    <w:tbl>
      <w:tblPr>
        <w:tblStyle w:val="35"/>
        <w:tblpPr w:leftFromText="180" w:rightFromText="180" w:vertAnchor="text" w:horzAnchor="page" w:tblpX="694" w:tblpY="450"/>
        <w:tblOverlap w:val="never"/>
        <w:tblW w:w="1069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7"/>
        <w:gridCol w:w="1107"/>
        <w:gridCol w:w="6939"/>
        <w:gridCol w:w="974"/>
        <w:gridCol w:w="109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77" w:type="dxa"/>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1107" w:type="dxa"/>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货物名称</w:t>
            </w:r>
          </w:p>
        </w:tc>
        <w:tc>
          <w:tcPr>
            <w:tcW w:w="6939" w:type="dxa"/>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技术参数及要求</w:t>
            </w:r>
          </w:p>
        </w:tc>
        <w:tc>
          <w:tcPr>
            <w:tcW w:w="974" w:type="dxa"/>
            <w:tcBorders>
              <w:tl2br w:val="nil"/>
              <w:tr2bl w:val="nil"/>
            </w:tcBorders>
            <w:vAlign w:val="center"/>
          </w:tcPr>
          <w:p>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数量</w:t>
            </w:r>
          </w:p>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(单位)</w:t>
            </w:r>
          </w:p>
        </w:tc>
        <w:tc>
          <w:tcPr>
            <w:tcW w:w="1099" w:type="dxa"/>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所属行业</w:t>
            </w:r>
          </w:p>
        </w:tc>
      </w:tr>
    </w:tbl>
    <w:tbl>
      <w:tblPr>
        <w:tblStyle w:val="36"/>
        <w:tblW w:w="67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规格尺寸</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≥500mm*400mm*120mm</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≥400mm×700mm×120mm</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≥800mm×600mm×120mm</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≥1000mm×600mm×120mm</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3台</w:t>
            </w:r>
          </w:p>
        </w:tc>
      </w:tr>
    </w:tbl>
    <w:tbl>
      <w:tblPr>
        <w:tblStyle w:val="35"/>
        <w:tblpPr w:leftFromText="180" w:rightFromText="180" w:vertAnchor="text" w:horzAnchor="page" w:tblpX="694" w:tblpY="450"/>
        <w:tblOverlap w:val="never"/>
        <w:tblW w:w="8623"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7"/>
        <w:gridCol w:w="1107"/>
        <w:gridCol w:w="69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bl>
    <w:tbl>
      <w:tblPr>
        <w:tblStyle w:val="36"/>
        <w:tblW w:w="67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规格尺寸</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ZR-RVV2*1.0mm²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ZR-RVV6*1.0mm²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ZR-RVV8*1.0mm²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ZR-RVVP2*1.0mm²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ZR-RVVP4*1.0mm²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ZR-RVVP6*1.0mm²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ZR-RVSP2*1.0mm²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300m</w:t>
            </w:r>
          </w:p>
        </w:tc>
      </w:tr>
    </w:tbl>
    <w:tbl>
      <w:tblPr>
        <w:tblStyle w:val="35"/>
        <w:tblpPr w:leftFromText="180" w:rightFromText="180" w:vertAnchor="text" w:horzAnchor="page" w:tblpX="694" w:tblpY="450"/>
        <w:tblOverlap w:val="never"/>
        <w:tblW w:w="8623"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7"/>
        <w:gridCol w:w="1107"/>
        <w:gridCol w:w="69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sz w:val="18"/>
                <w:szCs w:val="18"/>
              </w:rPr>
            </w:pP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bl>
    <w:tbl>
      <w:tblPr>
        <w:tblStyle w:val="36"/>
        <w:tblW w:w="6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规格尺寸</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ZR-RVV3*1.5mm²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ZR-RVV2*1.0mm²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2600m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WDZB-BYJ-3*2.5mm²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1000m</w:t>
            </w:r>
          </w:p>
        </w:tc>
      </w:tr>
    </w:tbl>
    <w:tbl>
      <w:tblPr>
        <w:tblStyle w:val="35"/>
        <w:tblpPr w:leftFromText="180" w:rightFromText="180" w:vertAnchor="text" w:horzAnchor="page" w:tblpX="694" w:tblpY="450"/>
        <w:tblOverlap w:val="never"/>
        <w:tblW w:w="10731"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7"/>
        <w:gridCol w:w="1107"/>
        <w:gridCol w:w="6939"/>
        <w:gridCol w:w="974"/>
        <w:gridCol w:w="1099"/>
        <w:gridCol w:w="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242</w:t>
            </w:r>
          </w:p>
        </w:tc>
        <w:tc>
          <w:tcPr>
            <w:tcW w:w="1107"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电源线</w:t>
            </w:r>
          </w:p>
        </w:tc>
        <w:tc>
          <w:tcPr>
            <w:tcW w:w="6939" w:type="dxa"/>
            <w:tcBorders>
              <w:tl2br w:val="nil"/>
              <w:tr2bl w:val="nil"/>
            </w:tcBorders>
            <w:shd w:val="clear" w:color="auto" w:fill="auto"/>
            <w:vAlign w:val="center"/>
          </w:tcPr>
          <w:tbl>
            <w:tblPr>
              <w:tblStyle w:val="36"/>
              <w:tblW w:w="6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规格尺寸</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ZR-RVV3*1.5mm²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ZR-RVV2*1.0mm²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2600m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WDZB-BYJ-3*2.5mm²</w:t>
                  </w:r>
                </w:p>
              </w:tc>
              <w:tc>
                <w:tcPr>
                  <w:tcW w:w="3356" w:type="dxa"/>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1000m</w:t>
                  </w:r>
                </w:p>
              </w:tc>
            </w:tr>
          </w:tbl>
          <w:p>
            <w:pPr>
              <w:widowControl/>
              <w:jc w:val="left"/>
              <w:textAlignment w:val="center"/>
              <w:rPr>
                <w:rFonts w:ascii="宋体" w:hAnsi="宋体" w:eastAsia="宋体" w:cs="宋体"/>
                <w:color w:val="000000"/>
                <w:sz w:val="18"/>
                <w:szCs w:val="18"/>
              </w:rPr>
            </w:pP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243</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485通信线</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ZR-RVSP2*1.0mm²</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12000米</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244</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六类非屏蔽双绞线</w:t>
            </w:r>
          </w:p>
        </w:tc>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1.采用六类非屏蔽双绞线，低烟无卤护套外皮(LSZH)。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2.十字隔离骨架隔离线对，23AWG实芯裸铜导线。</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3箱</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10731" w:type="dxa"/>
            <w:gridSpan w:val="6"/>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7.信息发布系统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245</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多媒体信息发布系统软件</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1.采用B/S架构架构。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2.支持设置用户权限，可实现多用户不同操作权限。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3.支持节目管理功能，可播放多种文件类型，至少包括：图片、音/视频、文档、PPT等。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4.支持同时发布、管理多个显示端，可实现多终端同时播放不同内容、多终端分组播放内容等。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5.支持免费开放接口，可与BMS、OA、MIS、ERP等系统进行数据集成与对接。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6.★支持电源管理功能，可自定义开/关机时间及日期，可实现对前端播放器、LED屏、一体机等设备的无人值守管理。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7.具备病毒防范、C盘保护等功能，支持一键重启、一键还原，可防范病毒入侵。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8.支持播放客户端跨平台管理，支持X86客户端、ARM客户端等多种平台。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9.支持播放画面预览功能，支持节目播放审核功能，可监控节目播放状态，可定时或紧急插入节目内容等。</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246</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LED显示屏播放软件</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1.支持对同步/异步LED屏进行统一管理，可实现同一后台管理多个显示终端。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2.支持屏幕自由分割，包括但不限于：网页、视频、音频、动画、图片、字幕等。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3.支持故障智能检测功能。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4.支持音/视频、文本、图片等多种节目素材本地存储，可在离线状态播放内容。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5.支持续传功能，终端断网、断电导致离线，可在重新联网时节目续传。可接收处理后台离线时发布的指令。</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247</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直播编码器</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1.支持音频/视频同时采集编码，支持多种格式编码输出。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2.支持远程设置采集、编码等设备参数。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3.支持立体声麦克风输入，支持多种编码算法。</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4.支持隔行反交错、图像增强、噪点抑制、锐度增强等功能。</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248</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多媒体播放器</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1.采用嵌入式架构，CPU≥6核，主频≥1.8GHz，运行内存≥4GB，存储内存≥64GB，HDMI输出接口≥1个，音频输出接口≥1个，USB接口≥1个，自适应千兆网口≥1个。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2.支持≥1080P高清多媒体播放，画面支持竖屏或90度旋转显示。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3.显示画面可通过软件自定义模版，支持任意分割画面播放。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4.支持独立播放视频，不依附后端服务器端运行。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5.支持定时开关机、断电保护、来电自启动等功能。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6.支持7*24小时连续不间断播放。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7.配套媒体显示端软件。</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249</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32英寸液晶发布一体机</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1.采用嵌入式架构，CPU≥6核，主频≥1.8GHz，运行内存≥4GB，存储内存≥64GB，HDMI输出接口≥1个，音频输出接口≥1个，USB接口≥1个，自适应千兆网口≥1个。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2.LED液晶显示屏≥32英寸，IPS面板，分辨率≥1920x1080，显示比例支持16：9，亮度≥500cd/㎡，对比度≥1200：1，内置≥2个3W喇叭。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3.采用金属材质外壳，边框宽度≤22mm，边框厚度≤50mm，支持嵌入式安装。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4.支持≥1080P高清多媒体播放，画面支持竖屏或90度旋转显示。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5.显示画面可通过软件自定义模版，支持任意分割画面播放。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6.支持独立播放视频，不依附服务器端运行。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7.支持定时开关机、断电保护、来电自启动等功能。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8.支持7*24小时连续不间断播放。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9.配套媒体显示端软件。</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250</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55英寸液晶发布一体机</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1.采用嵌入式架构，CPU≥6核，主频≥1.8GHz，运行内存≥4GB，存储内存≥64GB，HDMI输出接口≥1个，音频输出接口≥1个，USB接口≥1个，自适应千兆网口≥1个。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2.LED液晶显示屏≥55英寸，IPS面板，分辨率≥1920x1080，显示比例支持16：9，亮度≥500cd/㎡，对比度≥1200：1，内置≥2个3W喇叭。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3.采用金属材质外壳，边框宽度≤22mm，边框厚度≤50mm，支持嵌入式安装。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4.支持≥1080P高清多媒体播放，画面可竖屏或90度旋转显示。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5.显示画面可通过软件自定义模版，支持任意分割画面播放。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6.支持独立播放视频，不依附服务器端运行。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7.支持定时开关机、断电保护、来电自启动等功能。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8.支持7*24小时连续不间断播放。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9.配套媒体显示端软件。</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251</w:t>
            </w:r>
          </w:p>
        </w:tc>
        <w:tc>
          <w:tcPr>
            <w:tcW w:w="110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室内P2全彩LED大屏</w:t>
            </w:r>
          </w:p>
        </w:tc>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1.显示尺寸≥（W）4.8m*（H）2.72m。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2.像素间距≤2mm，像素密度≥250000点/㎡。</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3.白平衡亮度≥500cd/㎡，刷新率≥3840Hz，对比度≥6000：1，水平视角≥160度，垂直视角≥140度，可调色温范围：不劣于1000K-15000K。</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具备亮度校正、色度校正功能，支持更换灯板后，校正参数自动回读功能；同时具有数据传输安全技术，采用网线传导加扰技术，使用时无需配置，接上电源后即可实现各端口的网线传导加扰，防止传输信息丢失泄密及防止劫持相关设备。</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5.具有智能节电功能，开启智能节电功能比没有开启节能≥45%。</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xml:space="preserve">6.支持自动校正技术，通过构造非线性校正曲线和色坐标变换系数矩阵实现显示效果的不断改善，各项重要指标包含但不限于彩色还原性、色温调节范围、亮度均匀性、色度均匀性、刷新率等。 </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7.为保证产品质量及稳定性，模组、电源、接收卡必须原厂封装，不接受市场组装，中标后签订合同前业主方有权要求厂验，如有虚假应标情况，一经查实，取消中标资格并报请相关部门予以处罚。</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13.06㎡</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252</w:t>
            </w:r>
          </w:p>
        </w:tc>
        <w:tc>
          <w:tcPr>
            <w:tcW w:w="110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室外P4全彩LED条屏</w:t>
            </w:r>
          </w:p>
        </w:tc>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1.单屏显示尺寸≥4.48m（宽）×0.48m（高），共2块。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2.LED显示屏像素间距≤4mm；像素密度≥62500点/㎡，分辨率≥1120*120。</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3.LED采用SMD封装技术，驱动方式采用恒流驱动。</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4.白平衡亮度：≥5000nits。</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5.刷新率：1920-3840Hz，灰度等级：14bits；色域≥100%NTSC。</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6.对比度≥5000:1  亮度均匀性≥98%；色温：3000k-15000k可调。</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7.色度均匀性±0.003Cx,Cy之内；可视角度 ：水平≥160度  垂直≥140度。</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8.平整度≤0.1mm；像素点中心距偏差：≤0.3%。</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253</w:t>
            </w:r>
          </w:p>
        </w:tc>
        <w:tc>
          <w:tcPr>
            <w:tcW w:w="110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室外P4全彩LED大屏</w:t>
            </w:r>
          </w:p>
        </w:tc>
        <w:tc>
          <w:tcPr>
            <w:tcW w:w="6939" w:type="dxa"/>
            <w:tcBorders>
              <w:tl2br w:val="nil"/>
              <w:tr2bl w:val="nil"/>
            </w:tcBorders>
            <w:shd w:val="clear" w:color="auto" w:fill="auto"/>
            <w:vAlign w:val="center"/>
          </w:tcPr>
          <w:p>
            <w:pPr>
              <w:widowControl/>
              <w:jc w:val="left"/>
              <w:textAlignment w:val="center"/>
              <w:rPr>
                <w:rStyle w:val="82"/>
                <w:rFonts w:hint="default"/>
                <w:sz w:val="18"/>
                <w:szCs w:val="18"/>
                <w:lang w:bidi="ar"/>
              </w:rPr>
            </w:pPr>
            <w:r>
              <w:rPr>
                <w:rStyle w:val="82"/>
                <w:rFonts w:hint="default"/>
                <w:sz w:val="18"/>
                <w:szCs w:val="18"/>
                <w:lang w:bidi="ar"/>
              </w:rPr>
              <w:t>1.显示尺寸≥13.44米（宽）×4.8米（高）。</w:t>
            </w:r>
            <w:r>
              <w:rPr>
                <w:rStyle w:val="82"/>
                <w:rFonts w:hint="default"/>
                <w:sz w:val="18"/>
                <w:szCs w:val="18"/>
                <w:lang w:bidi="ar"/>
              </w:rPr>
              <w:br w:type="textWrapping"/>
            </w:r>
            <w:r>
              <w:rPr>
                <w:rStyle w:val="82"/>
                <w:sz w:val="18"/>
                <w:szCs w:val="18"/>
                <w:lang w:bidi="ar"/>
              </w:rPr>
              <w:t>2.LED显示屏像素间距≤4mm；像素密度≥62500点/㎡。</w:t>
            </w:r>
          </w:p>
          <w:p>
            <w:pPr>
              <w:widowControl/>
              <w:jc w:val="left"/>
              <w:textAlignment w:val="center"/>
              <w:rPr>
                <w:rStyle w:val="82"/>
                <w:rFonts w:hint="default"/>
                <w:sz w:val="18"/>
                <w:szCs w:val="18"/>
                <w:lang w:bidi="ar"/>
              </w:rPr>
            </w:pPr>
            <w:r>
              <w:rPr>
                <w:rStyle w:val="82"/>
                <w:sz w:val="18"/>
                <w:szCs w:val="18"/>
                <w:lang w:bidi="ar"/>
              </w:rPr>
              <w:t>3.LED屏最大功耗≤750W/㎡，平均功耗≤250W/㎡。</w:t>
            </w:r>
          </w:p>
          <w:p>
            <w:pPr>
              <w:widowControl/>
              <w:jc w:val="left"/>
              <w:textAlignment w:val="center"/>
              <w:rPr>
                <w:rStyle w:val="82"/>
                <w:rFonts w:hint="default"/>
                <w:sz w:val="18"/>
                <w:szCs w:val="18"/>
                <w:lang w:bidi="ar"/>
              </w:rPr>
            </w:pPr>
            <w:r>
              <w:rPr>
                <w:rStyle w:val="82"/>
                <w:sz w:val="18"/>
                <w:szCs w:val="18"/>
                <w:lang w:bidi="ar"/>
              </w:rPr>
              <w:t>4.屏体亮度≥4000cd/㎡，发光点中心距偏差≤0.5%，对比度：≥8000：1；换帧频率≥50Hz。</w:t>
            </w:r>
          </w:p>
          <w:p>
            <w:pPr>
              <w:widowControl/>
              <w:jc w:val="left"/>
              <w:textAlignment w:val="center"/>
              <w:rPr>
                <w:rStyle w:val="82"/>
                <w:rFonts w:hint="default"/>
                <w:sz w:val="18"/>
                <w:szCs w:val="18"/>
                <w:lang w:bidi="ar"/>
              </w:rPr>
            </w:pPr>
            <w:r>
              <w:rPr>
                <w:rStyle w:val="82"/>
                <w:sz w:val="18"/>
                <w:szCs w:val="18"/>
                <w:lang w:bidi="ar"/>
              </w:rPr>
              <w:t>5.支持摩尔纹抑制功能，主观抑制效果达到≥80%；</w:t>
            </w:r>
          </w:p>
          <w:p>
            <w:pPr>
              <w:widowControl/>
              <w:jc w:val="left"/>
              <w:textAlignment w:val="center"/>
              <w:rPr>
                <w:rStyle w:val="82"/>
                <w:rFonts w:hint="default"/>
                <w:sz w:val="18"/>
                <w:szCs w:val="18"/>
                <w:lang w:bidi="ar"/>
              </w:rPr>
            </w:pPr>
            <w:r>
              <w:rPr>
                <w:rStyle w:val="82"/>
                <w:sz w:val="18"/>
                <w:szCs w:val="18"/>
                <w:lang w:bidi="ar"/>
              </w:rPr>
              <w:t>6.色温为6500K时，100%，75%，50%，25%四档电平白场调节色温误差≤100K；可视角：水平视角≥160°；垂直视角≥140°。</w:t>
            </w:r>
          </w:p>
          <w:p>
            <w:pPr>
              <w:widowControl/>
              <w:jc w:val="left"/>
              <w:textAlignment w:val="center"/>
              <w:rPr>
                <w:rStyle w:val="82"/>
                <w:rFonts w:hint="default"/>
                <w:sz w:val="18"/>
                <w:szCs w:val="18"/>
                <w:lang w:bidi="ar"/>
              </w:rPr>
            </w:pPr>
            <w:r>
              <w:rPr>
                <w:rStyle w:val="82"/>
                <w:sz w:val="18"/>
                <w:szCs w:val="18"/>
                <w:lang w:bidi="ar"/>
              </w:rPr>
              <w:t>7.支持IP防尘防护等级IP6X；防水防护等级IPX5;平均使用寿命≥100000hrs，平均失效间隔时间≥100000hrs；</w:t>
            </w:r>
          </w:p>
          <w:p>
            <w:pPr>
              <w:widowControl/>
              <w:jc w:val="left"/>
              <w:textAlignment w:val="center"/>
              <w:rPr>
                <w:rStyle w:val="82"/>
                <w:rFonts w:hint="default"/>
                <w:sz w:val="18"/>
                <w:szCs w:val="18"/>
                <w:lang w:bidi="ar"/>
              </w:rPr>
            </w:pPr>
            <w:r>
              <w:rPr>
                <w:rStyle w:val="82"/>
                <w:sz w:val="18"/>
                <w:szCs w:val="18"/>
                <w:lang w:bidi="ar"/>
              </w:rPr>
              <w:t>8.显示屏具有防潮、防尘、防腐蚀、防电磁干扰、防静电等功能，并具有过流、短路、过压、欠压保护；</w:t>
            </w:r>
          </w:p>
          <w:p>
            <w:pPr>
              <w:widowControl/>
              <w:jc w:val="left"/>
              <w:textAlignment w:val="center"/>
              <w:rPr>
                <w:rStyle w:val="82"/>
                <w:rFonts w:hint="default"/>
                <w:sz w:val="18"/>
                <w:szCs w:val="18"/>
                <w:lang w:bidi="ar"/>
              </w:rPr>
            </w:pPr>
            <w:r>
              <w:rPr>
                <w:rStyle w:val="82"/>
                <w:sz w:val="18"/>
                <w:szCs w:val="18"/>
                <w:lang w:bidi="ar"/>
              </w:rPr>
              <w:t>9.★具有网线传导加扰技术功能，使用时无需配置，接上电源后即可实现各端口的网线传导加扰，防止传输信息的失泄密及防止劫持相关设备。</w:t>
            </w:r>
          </w:p>
          <w:p>
            <w:pPr>
              <w:widowControl/>
              <w:jc w:val="left"/>
              <w:textAlignment w:val="center"/>
              <w:rPr>
                <w:rStyle w:val="82"/>
                <w:rFonts w:hint="default"/>
                <w:sz w:val="18"/>
                <w:szCs w:val="18"/>
                <w:lang w:bidi="ar"/>
              </w:rPr>
            </w:pPr>
            <w:r>
              <w:rPr>
                <w:rStyle w:val="82"/>
                <w:sz w:val="18"/>
                <w:szCs w:val="18"/>
                <w:lang w:bidi="ar"/>
              </w:rPr>
              <w:t>10.具有动态节能功能，带有智能（黑屏）节电功能，开启智能（黑屏）节电功能比没有开启节能60%。</w:t>
            </w:r>
          </w:p>
          <w:p>
            <w:pPr>
              <w:widowControl/>
              <w:jc w:val="left"/>
              <w:textAlignment w:val="center"/>
              <w:rPr>
                <w:rStyle w:val="82"/>
                <w:rFonts w:hint="default"/>
                <w:sz w:val="18"/>
                <w:szCs w:val="18"/>
                <w:lang w:bidi="ar"/>
              </w:rPr>
            </w:pPr>
            <w:r>
              <w:rPr>
                <w:rStyle w:val="82"/>
                <w:sz w:val="18"/>
                <w:szCs w:val="18"/>
                <w:lang w:bidi="ar"/>
              </w:rPr>
              <w:t>11.★具有除湿功能或模式，自动检测长时间没使用屏体时，通过预热灯珠，蒸发掉内部湿气，启动除湿模式。</w:t>
            </w:r>
          </w:p>
          <w:p>
            <w:pPr>
              <w:widowControl/>
              <w:jc w:val="left"/>
              <w:textAlignment w:val="center"/>
              <w:rPr>
                <w:rStyle w:val="82"/>
                <w:rFonts w:hint="default"/>
                <w:sz w:val="18"/>
                <w:szCs w:val="18"/>
                <w:lang w:bidi="ar"/>
              </w:rPr>
            </w:pPr>
            <w:r>
              <w:rPr>
                <w:rStyle w:val="82"/>
                <w:sz w:val="18"/>
                <w:szCs w:val="18"/>
                <w:lang w:bidi="ar"/>
              </w:rPr>
              <w:t>12.具有逐点矫正功能，支持亮度、色度逐点校正功能。</w:t>
            </w:r>
          </w:p>
          <w:p>
            <w:pPr>
              <w:widowControl/>
              <w:jc w:val="left"/>
              <w:textAlignment w:val="center"/>
              <w:rPr>
                <w:rStyle w:val="82"/>
                <w:rFonts w:hint="default"/>
                <w:sz w:val="18"/>
                <w:szCs w:val="18"/>
                <w:lang w:bidi="ar"/>
              </w:rPr>
            </w:pPr>
            <w:r>
              <w:rPr>
                <w:rStyle w:val="82"/>
                <w:sz w:val="18"/>
                <w:szCs w:val="18"/>
                <w:lang w:bidi="ar"/>
              </w:rPr>
              <w:t>13.▲具有LED屏坏点检测告警及多点智能温度测量功能。（投标时提供“LED显示屏区域图像死灯率检测系统”或“LED屏坏点检测告警及多点智能温度测量系统软件”软件著作权登记证书扫描件）</w:t>
            </w:r>
          </w:p>
          <w:p>
            <w:pPr>
              <w:widowControl/>
              <w:jc w:val="left"/>
              <w:textAlignment w:val="center"/>
              <w:rPr>
                <w:rFonts w:ascii="宋体" w:hAnsi="宋体" w:eastAsia="宋体" w:cs="宋体"/>
                <w:color w:val="000000"/>
                <w:sz w:val="18"/>
                <w:szCs w:val="18"/>
              </w:rPr>
            </w:pPr>
            <w:r>
              <w:rPr>
                <w:rStyle w:val="82"/>
                <w:sz w:val="18"/>
                <w:szCs w:val="18"/>
                <w:lang w:bidi="ar"/>
              </w:rPr>
              <w:t>14.为保证产品质量及稳定性，模组、电源、接收卡必须原厂封装，不接受市场组装，中标后签订合同前业主方有权要求厂验，如有虚假应标情况，一经查实，取消中标资格并报请相关部门予以处罚。</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64.51㎡</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254</w:t>
            </w:r>
          </w:p>
        </w:tc>
        <w:tc>
          <w:tcPr>
            <w:tcW w:w="110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室外P4全彩LED大屏</w:t>
            </w:r>
          </w:p>
        </w:tc>
        <w:tc>
          <w:tcPr>
            <w:tcW w:w="6939" w:type="dxa"/>
            <w:tcBorders>
              <w:tl2br w:val="nil"/>
              <w:tr2bl w:val="nil"/>
            </w:tcBorders>
            <w:shd w:val="clear" w:color="auto" w:fill="auto"/>
            <w:vAlign w:val="center"/>
          </w:tcPr>
          <w:p>
            <w:pPr>
              <w:widowControl/>
              <w:jc w:val="left"/>
              <w:textAlignment w:val="center"/>
              <w:rPr>
                <w:rStyle w:val="82"/>
                <w:rFonts w:hint="default"/>
                <w:sz w:val="18"/>
                <w:szCs w:val="18"/>
                <w:lang w:bidi="ar"/>
              </w:rPr>
            </w:pPr>
            <w:r>
              <w:rPr>
                <w:rFonts w:hint="eastAsia" w:ascii="宋体" w:hAnsi="宋体" w:eastAsia="宋体" w:cs="宋体"/>
                <w:color w:val="000000"/>
                <w:kern w:val="0"/>
                <w:sz w:val="18"/>
                <w:szCs w:val="18"/>
                <w:lang w:bidi="ar"/>
              </w:rPr>
              <w:t>1.单屏显示尺寸≥5.76米（宽）×3.84米（高），共2块。</w:t>
            </w:r>
            <w:r>
              <w:rPr>
                <w:rFonts w:hint="eastAsia" w:ascii="宋体" w:hAnsi="宋体" w:eastAsia="宋体" w:cs="宋体"/>
                <w:color w:val="000000"/>
                <w:kern w:val="0"/>
                <w:sz w:val="18"/>
                <w:szCs w:val="18"/>
                <w:lang w:bidi="ar"/>
              </w:rPr>
              <w:br w:type="textWrapping"/>
            </w:r>
            <w:bookmarkStart w:id="8" w:name="OLE_LINK1"/>
            <w:r>
              <w:rPr>
                <w:rStyle w:val="82"/>
                <w:sz w:val="18"/>
                <w:szCs w:val="18"/>
                <w:lang w:bidi="ar"/>
              </w:rPr>
              <w:t>2.LED显示屏像素间距≤4mm，像素密度≥62500点/㎡。</w:t>
            </w:r>
          </w:p>
          <w:p>
            <w:pPr>
              <w:widowControl/>
              <w:jc w:val="left"/>
              <w:textAlignment w:val="center"/>
              <w:rPr>
                <w:rStyle w:val="82"/>
                <w:rFonts w:hint="default"/>
                <w:sz w:val="18"/>
                <w:szCs w:val="18"/>
                <w:lang w:bidi="ar"/>
              </w:rPr>
            </w:pPr>
            <w:r>
              <w:rPr>
                <w:rStyle w:val="82"/>
                <w:sz w:val="18"/>
                <w:szCs w:val="18"/>
                <w:lang w:bidi="ar"/>
              </w:rPr>
              <w:t>3.LED屏最大功耗≤750W/㎡，平均功耗≤250W/㎡。</w:t>
            </w:r>
          </w:p>
          <w:p>
            <w:pPr>
              <w:widowControl/>
              <w:jc w:val="left"/>
              <w:textAlignment w:val="center"/>
              <w:rPr>
                <w:rStyle w:val="82"/>
                <w:rFonts w:hint="default"/>
                <w:sz w:val="18"/>
                <w:szCs w:val="18"/>
                <w:lang w:bidi="ar"/>
              </w:rPr>
            </w:pPr>
            <w:r>
              <w:rPr>
                <w:rStyle w:val="82"/>
                <w:sz w:val="18"/>
                <w:szCs w:val="18"/>
                <w:lang w:bidi="ar"/>
              </w:rPr>
              <w:t>4.屏体亮度≥4000cd/㎡，发光点中心距偏差≤0.5%，对比度：≥8000：1；换帧频率≥50Hz。</w:t>
            </w:r>
          </w:p>
          <w:p>
            <w:pPr>
              <w:widowControl/>
              <w:jc w:val="left"/>
              <w:textAlignment w:val="center"/>
              <w:rPr>
                <w:rStyle w:val="82"/>
                <w:rFonts w:hint="default"/>
                <w:sz w:val="18"/>
                <w:szCs w:val="18"/>
                <w:lang w:bidi="ar"/>
              </w:rPr>
            </w:pPr>
            <w:r>
              <w:rPr>
                <w:rStyle w:val="82"/>
                <w:sz w:val="18"/>
                <w:szCs w:val="18"/>
                <w:lang w:bidi="ar"/>
              </w:rPr>
              <w:t>5.支持摩尔纹抑制功能，主观抑制效果达到≥80%；</w:t>
            </w:r>
          </w:p>
          <w:p>
            <w:pPr>
              <w:widowControl/>
              <w:jc w:val="left"/>
              <w:textAlignment w:val="center"/>
              <w:rPr>
                <w:rStyle w:val="82"/>
                <w:rFonts w:hint="default"/>
                <w:sz w:val="18"/>
                <w:szCs w:val="18"/>
                <w:lang w:bidi="ar"/>
              </w:rPr>
            </w:pPr>
            <w:r>
              <w:rPr>
                <w:rStyle w:val="82"/>
                <w:sz w:val="18"/>
                <w:szCs w:val="18"/>
                <w:lang w:bidi="ar"/>
              </w:rPr>
              <w:t>6.色温为6500K时，100%，75%，50%，25%四档电平白场调节色温误差≤100K；可视角：水平视角≥160°；垂直视角≥140°。</w:t>
            </w:r>
          </w:p>
          <w:p>
            <w:pPr>
              <w:widowControl/>
              <w:jc w:val="left"/>
              <w:textAlignment w:val="center"/>
              <w:rPr>
                <w:rStyle w:val="82"/>
                <w:rFonts w:hint="default"/>
                <w:sz w:val="18"/>
                <w:szCs w:val="18"/>
                <w:lang w:bidi="ar"/>
              </w:rPr>
            </w:pPr>
            <w:r>
              <w:rPr>
                <w:rStyle w:val="82"/>
                <w:sz w:val="18"/>
                <w:szCs w:val="18"/>
                <w:lang w:bidi="ar"/>
              </w:rPr>
              <w:t>7.支持IP防尘防护等级IP6X；防水防护等级IPX5;平均使用寿命≥100000hrs，平均失效间隔时间≥100000hrs；</w:t>
            </w:r>
          </w:p>
          <w:p>
            <w:pPr>
              <w:widowControl/>
              <w:jc w:val="left"/>
              <w:textAlignment w:val="center"/>
              <w:rPr>
                <w:rStyle w:val="82"/>
                <w:rFonts w:hint="default"/>
                <w:sz w:val="18"/>
                <w:szCs w:val="18"/>
                <w:lang w:bidi="ar"/>
              </w:rPr>
            </w:pPr>
            <w:r>
              <w:rPr>
                <w:rStyle w:val="82"/>
                <w:sz w:val="18"/>
                <w:szCs w:val="18"/>
                <w:lang w:bidi="ar"/>
              </w:rPr>
              <w:t>8.显示屏具有防潮、防尘、防腐蚀、防电磁干扰、防静电等功能，并具有过流、短路、过压、欠压保护；</w:t>
            </w:r>
          </w:p>
          <w:p>
            <w:pPr>
              <w:widowControl/>
              <w:jc w:val="left"/>
              <w:textAlignment w:val="center"/>
              <w:rPr>
                <w:rStyle w:val="82"/>
                <w:rFonts w:hint="default"/>
                <w:sz w:val="18"/>
                <w:szCs w:val="18"/>
                <w:lang w:bidi="ar"/>
              </w:rPr>
            </w:pPr>
            <w:r>
              <w:rPr>
                <w:rStyle w:val="82"/>
                <w:sz w:val="18"/>
                <w:szCs w:val="18"/>
                <w:lang w:bidi="ar"/>
              </w:rPr>
              <w:t>9.具有网线传导加扰技术功能，使用时无需配置，接上电源后即可实现各端口的网线传导加扰，防止传输信息的失泄密及防止劫持相关设备。</w:t>
            </w:r>
          </w:p>
          <w:p>
            <w:pPr>
              <w:widowControl/>
              <w:jc w:val="left"/>
              <w:textAlignment w:val="center"/>
              <w:rPr>
                <w:rStyle w:val="82"/>
                <w:rFonts w:hint="default"/>
                <w:sz w:val="18"/>
                <w:szCs w:val="18"/>
                <w:lang w:bidi="ar"/>
              </w:rPr>
            </w:pPr>
            <w:r>
              <w:rPr>
                <w:rStyle w:val="82"/>
                <w:sz w:val="18"/>
                <w:szCs w:val="18"/>
                <w:lang w:bidi="ar"/>
              </w:rPr>
              <w:t>10.具有动态节能功能，带有智能（黑屏）节电功能，开启智能（黑屏）节电功能比没有开启节能60%。</w:t>
            </w:r>
          </w:p>
          <w:p>
            <w:pPr>
              <w:widowControl/>
              <w:jc w:val="left"/>
              <w:textAlignment w:val="center"/>
              <w:rPr>
                <w:rStyle w:val="82"/>
                <w:rFonts w:hint="default"/>
                <w:sz w:val="18"/>
                <w:szCs w:val="18"/>
                <w:lang w:bidi="ar"/>
              </w:rPr>
            </w:pPr>
            <w:r>
              <w:rPr>
                <w:rStyle w:val="82"/>
                <w:sz w:val="18"/>
                <w:szCs w:val="18"/>
                <w:lang w:bidi="ar"/>
              </w:rPr>
              <w:t>11.具有除湿功能或模式，自动检测长时间没使用屏体时，通过预热灯珠，蒸发掉内部湿气，启动除湿模式。</w:t>
            </w:r>
          </w:p>
          <w:p>
            <w:pPr>
              <w:widowControl/>
              <w:jc w:val="left"/>
              <w:textAlignment w:val="center"/>
              <w:rPr>
                <w:rStyle w:val="82"/>
                <w:rFonts w:hint="default"/>
                <w:sz w:val="18"/>
                <w:szCs w:val="18"/>
                <w:lang w:bidi="ar"/>
              </w:rPr>
            </w:pPr>
            <w:r>
              <w:rPr>
                <w:rStyle w:val="82"/>
                <w:sz w:val="18"/>
                <w:szCs w:val="18"/>
                <w:lang w:bidi="ar"/>
              </w:rPr>
              <w:t>12.具有逐点矫正功能，支持亮度、色度逐点校正功能。</w:t>
            </w:r>
          </w:p>
          <w:p>
            <w:pPr>
              <w:widowControl/>
              <w:jc w:val="left"/>
              <w:textAlignment w:val="center"/>
              <w:rPr>
                <w:rStyle w:val="82"/>
                <w:rFonts w:hint="default"/>
                <w:sz w:val="18"/>
                <w:szCs w:val="18"/>
                <w:lang w:bidi="ar"/>
              </w:rPr>
            </w:pPr>
            <w:r>
              <w:rPr>
                <w:rStyle w:val="82"/>
                <w:sz w:val="18"/>
                <w:szCs w:val="18"/>
                <w:lang w:bidi="ar"/>
              </w:rPr>
              <w:t>13.具有LED屏坏点检测告警及多点智能温度测量功能。</w:t>
            </w:r>
          </w:p>
          <w:p>
            <w:pPr>
              <w:widowControl/>
              <w:jc w:val="left"/>
              <w:textAlignment w:val="center"/>
              <w:rPr>
                <w:rFonts w:ascii="宋体" w:hAnsi="宋体" w:eastAsia="宋体" w:cs="宋体"/>
                <w:color w:val="000000"/>
                <w:sz w:val="18"/>
                <w:szCs w:val="18"/>
              </w:rPr>
            </w:pPr>
            <w:r>
              <w:rPr>
                <w:rStyle w:val="82"/>
                <w:sz w:val="18"/>
                <w:szCs w:val="18"/>
                <w:lang w:bidi="ar"/>
              </w:rPr>
              <w:t>14.为保证产品质量及稳定性，模组、电源、接收卡必须原厂封装，不接受市场组装，中标后签订合同前业主方有权要求厂验，如有虚假应标情况，一经查实，取消中标资格并报请相关部门予以处罚。</w:t>
            </w:r>
            <w:bookmarkEnd w:id="8"/>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44.24㎡</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255</w:t>
            </w:r>
          </w:p>
        </w:tc>
        <w:tc>
          <w:tcPr>
            <w:tcW w:w="110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室外P4全彩LED大屏</w:t>
            </w:r>
          </w:p>
        </w:tc>
        <w:tc>
          <w:tcPr>
            <w:tcW w:w="6939" w:type="dxa"/>
            <w:tcBorders>
              <w:tl2br w:val="nil"/>
              <w:tr2bl w:val="nil"/>
            </w:tcBorders>
            <w:shd w:val="clear" w:color="auto" w:fill="auto"/>
            <w:vAlign w:val="center"/>
          </w:tcPr>
          <w:p>
            <w:pPr>
              <w:widowControl/>
              <w:jc w:val="left"/>
              <w:textAlignment w:val="center"/>
              <w:rPr>
                <w:rStyle w:val="82"/>
                <w:rFonts w:hint="default"/>
                <w:sz w:val="18"/>
                <w:szCs w:val="18"/>
                <w:lang w:bidi="ar"/>
              </w:rPr>
            </w:pPr>
            <w:r>
              <w:rPr>
                <w:rFonts w:hint="eastAsia" w:ascii="宋体" w:hAnsi="宋体" w:eastAsia="宋体" w:cs="宋体"/>
                <w:color w:val="000000"/>
                <w:kern w:val="0"/>
                <w:sz w:val="18"/>
                <w:szCs w:val="18"/>
                <w:lang w:bidi="ar"/>
              </w:rPr>
              <w:t>1.显示尺寸≥8.64米（宽）×4.8米（高）。</w:t>
            </w:r>
            <w:r>
              <w:rPr>
                <w:rFonts w:hint="eastAsia" w:ascii="宋体" w:hAnsi="宋体" w:eastAsia="宋体" w:cs="宋体"/>
                <w:color w:val="000000"/>
                <w:kern w:val="0"/>
                <w:sz w:val="18"/>
                <w:szCs w:val="18"/>
                <w:lang w:bidi="ar"/>
              </w:rPr>
              <w:br w:type="textWrapping"/>
            </w:r>
            <w:r>
              <w:rPr>
                <w:rStyle w:val="82"/>
                <w:sz w:val="18"/>
                <w:szCs w:val="18"/>
                <w:lang w:bidi="ar"/>
              </w:rPr>
              <w:t>2.LED显示屏像素间距≤4mm；像素密度≥62500点/㎡。</w:t>
            </w:r>
          </w:p>
          <w:p>
            <w:pPr>
              <w:widowControl/>
              <w:jc w:val="left"/>
              <w:textAlignment w:val="center"/>
              <w:rPr>
                <w:rStyle w:val="82"/>
                <w:rFonts w:hint="default"/>
                <w:sz w:val="18"/>
                <w:szCs w:val="18"/>
                <w:lang w:bidi="ar"/>
              </w:rPr>
            </w:pPr>
            <w:r>
              <w:rPr>
                <w:rStyle w:val="82"/>
                <w:sz w:val="18"/>
                <w:szCs w:val="18"/>
                <w:lang w:bidi="ar"/>
              </w:rPr>
              <w:t>3.LED屏最大功耗≤750W/㎡，平均功耗≤250W/㎡。</w:t>
            </w:r>
          </w:p>
          <w:p>
            <w:pPr>
              <w:widowControl/>
              <w:jc w:val="left"/>
              <w:textAlignment w:val="center"/>
              <w:rPr>
                <w:rStyle w:val="82"/>
                <w:rFonts w:hint="default"/>
                <w:sz w:val="18"/>
                <w:szCs w:val="18"/>
                <w:lang w:bidi="ar"/>
              </w:rPr>
            </w:pPr>
            <w:r>
              <w:rPr>
                <w:rStyle w:val="82"/>
                <w:sz w:val="18"/>
                <w:szCs w:val="18"/>
                <w:lang w:bidi="ar"/>
              </w:rPr>
              <w:t>4.屏体亮度≥4000cd/㎡，发光点中心距偏差≤0.5%，对比度：≥8000：1；换帧频率≥50Hz。</w:t>
            </w:r>
          </w:p>
          <w:p>
            <w:pPr>
              <w:widowControl/>
              <w:jc w:val="left"/>
              <w:textAlignment w:val="center"/>
              <w:rPr>
                <w:rStyle w:val="82"/>
                <w:rFonts w:hint="default"/>
                <w:sz w:val="18"/>
                <w:szCs w:val="18"/>
                <w:lang w:bidi="ar"/>
              </w:rPr>
            </w:pPr>
            <w:r>
              <w:rPr>
                <w:rStyle w:val="82"/>
                <w:sz w:val="18"/>
                <w:szCs w:val="18"/>
                <w:lang w:bidi="ar"/>
              </w:rPr>
              <w:t>5.支持摩尔纹抑制功能，主观抑制效果达到≥80%。</w:t>
            </w:r>
          </w:p>
          <w:p>
            <w:pPr>
              <w:widowControl/>
              <w:jc w:val="left"/>
              <w:textAlignment w:val="center"/>
              <w:rPr>
                <w:rStyle w:val="82"/>
                <w:rFonts w:hint="default"/>
                <w:sz w:val="18"/>
                <w:szCs w:val="18"/>
                <w:lang w:bidi="ar"/>
              </w:rPr>
            </w:pPr>
            <w:r>
              <w:rPr>
                <w:rStyle w:val="82"/>
                <w:sz w:val="18"/>
                <w:szCs w:val="18"/>
                <w:lang w:bidi="ar"/>
              </w:rPr>
              <w:t>6.色温为6500K时，100%，75%，50%，25%四档电平白场调节色温误差≤100K；可视角：水平视角≥160°；垂直视角≥140°。</w:t>
            </w:r>
          </w:p>
          <w:p>
            <w:pPr>
              <w:widowControl/>
              <w:jc w:val="left"/>
              <w:textAlignment w:val="center"/>
              <w:rPr>
                <w:rStyle w:val="82"/>
                <w:rFonts w:hint="default"/>
                <w:sz w:val="18"/>
                <w:szCs w:val="18"/>
                <w:lang w:bidi="ar"/>
              </w:rPr>
            </w:pPr>
            <w:r>
              <w:rPr>
                <w:rStyle w:val="82"/>
                <w:sz w:val="18"/>
                <w:szCs w:val="18"/>
                <w:lang w:bidi="ar"/>
              </w:rPr>
              <w:t>7.支持IP防尘防护等级IP6X；防水防护等级IPX5;平均使用寿命≥100000hrs，平均失效间隔时间≥100000hrs。</w:t>
            </w:r>
          </w:p>
          <w:p>
            <w:pPr>
              <w:widowControl/>
              <w:jc w:val="left"/>
              <w:textAlignment w:val="center"/>
              <w:rPr>
                <w:rStyle w:val="82"/>
                <w:rFonts w:hint="default"/>
                <w:sz w:val="18"/>
                <w:szCs w:val="18"/>
                <w:lang w:bidi="ar"/>
              </w:rPr>
            </w:pPr>
            <w:r>
              <w:rPr>
                <w:rStyle w:val="82"/>
                <w:sz w:val="18"/>
                <w:szCs w:val="18"/>
                <w:lang w:bidi="ar"/>
              </w:rPr>
              <w:t>8.显示屏具有防潮、防尘、防腐蚀、防电磁干扰、防静电等功能，并具有过流、短路、过压、欠压保护。</w:t>
            </w:r>
          </w:p>
          <w:p>
            <w:pPr>
              <w:widowControl/>
              <w:jc w:val="left"/>
              <w:textAlignment w:val="center"/>
              <w:rPr>
                <w:rStyle w:val="82"/>
                <w:rFonts w:hint="default"/>
                <w:sz w:val="18"/>
                <w:szCs w:val="18"/>
                <w:lang w:bidi="ar"/>
              </w:rPr>
            </w:pPr>
            <w:r>
              <w:rPr>
                <w:rStyle w:val="82"/>
                <w:sz w:val="18"/>
                <w:szCs w:val="18"/>
                <w:lang w:bidi="ar"/>
              </w:rPr>
              <w:t>9.具有网线传导加扰技术功能，使用时无需配置，接上电源后即可实现各端口的网线传导加扰，防止传输信息的失泄密及防止劫持相关设备。</w:t>
            </w:r>
          </w:p>
          <w:p>
            <w:pPr>
              <w:widowControl/>
              <w:jc w:val="left"/>
              <w:textAlignment w:val="center"/>
              <w:rPr>
                <w:rStyle w:val="82"/>
                <w:rFonts w:hint="default"/>
                <w:sz w:val="18"/>
                <w:szCs w:val="18"/>
                <w:lang w:bidi="ar"/>
              </w:rPr>
            </w:pPr>
            <w:r>
              <w:rPr>
                <w:rStyle w:val="82"/>
                <w:sz w:val="18"/>
                <w:szCs w:val="18"/>
                <w:lang w:bidi="ar"/>
              </w:rPr>
              <w:t>10.具有动态节能功能，带有智能（黑屏）节电功能，开启智能（黑屏）节电功能比没有开启节能60%。</w:t>
            </w:r>
          </w:p>
          <w:p>
            <w:pPr>
              <w:widowControl/>
              <w:jc w:val="left"/>
              <w:textAlignment w:val="center"/>
              <w:rPr>
                <w:rStyle w:val="82"/>
                <w:rFonts w:hint="default"/>
                <w:sz w:val="18"/>
                <w:szCs w:val="18"/>
                <w:lang w:bidi="ar"/>
              </w:rPr>
            </w:pPr>
            <w:r>
              <w:rPr>
                <w:rStyle w:val="82"/>
                <w:sz w:val="18"/>
                <w:szCs w:val="18"/>
                <w:lang w:bidi="ar"/>
              </w:rPr>
              <w:t>11.具有除湿功能或模式，自动检测长时间没使用屏体时，通过预热灯珠，蒸发掉内部湿气，启动除湿模式。</w:t>
            </w:r>
          </w:p>
          <w:p>
            <w:pPr>
              <w:widowControl/>
              <w:jc w:val="left"/>
              <w:textAlignment w:val="center"/>
              <w:rPr>
                <w:rStyle w:val="82"/>
                <w:rFonts w:hint="default"/>
                <w:sz w:val="18"/>
                <w:szCs w:val="18"/>
                <w:lang w:bidi="ar"/>
              </w:rPr>
            </w:pPr>
            <w:r>
              <w:rPr>
                <w:rStyle w:val="82"/>
                <w:sz w:val="18"/>
                <w:szCs w:val="18"/>
                <w:lang w:bidi="ar"/>
              </w:rPr>
              <w:t>12.具有逐点矫正功能，支持亮度、色度逐点校正功能。</w:t>
            </w:r>
          </w:p>
          <w:p>
            <w:pPr>
              <w:widowControl/>
              <w:jc w:val="left"/>
              <w:textAlignment w:val="center"/>
              <w:rPr>
                <w:rStyle w:val="82"/>
                <w:rFonts w:hint="default"/>
                <w:sz w:val="18"/>
                <w:szCs w:val="18"/>
                <w:lang w:bidi="ar"/>
              </w:rPr>
            </w:pPr>
            <w:r>
              <w:rPr>
                <w:rStyle w:val="82"/>
                <w:sz w:val="18"/>
                <w:szCs w:val="18"/>
                <w:lang w:bidi="ar"/>
              </w:rPr>
              <w:t>13.具有LED屏坏点检测告警及多点智能温度测量功能。</w:t>
            </w:r>
          </w:p>
          <w:p>
            <w:pPr>
              <w:widowControl/>
              <w:jc w:val="left"/>
              <w:textAlignment w:val="center"/>
              <w:rPr>
                <w:rFonts w:ascii="宋体" w:hAnsi="宋体" w:eastAsia="宋体" w:cs="宋体"/>
                <w:color w:val="000000"/>
                <w:sz w:val="18"/>
                <w:szCs w:val="18"/>
              </w:rPr>
            </w:pPr>
            <w:r>
              <w:rPr>
                <w:rStyle w:val="82"/>
                <w:sz w:val="18"/>
                <w:szCs w:val="18"/>
                <w:lang w:bidi="ar"/>
              </w:rPr>
              <w:t>14.为保证产品质量及稳定性，模组、电源、接收卡必须原厂封装，不接受市场组装，中标后签订合同前业主方有权要求厂验，如有虚假应标情况，一经查实，取消中标资格并报请相关部门予以处罚。</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41.47㎡</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256</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接收卡</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1.支持并行数据：≥24组，单卡自带HUB75接口。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2.支持逐点亮色度校正功能，可校正各灯点的亮度、色度等。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3.支持快速亮暗线调节功能，可解决显示屏亮暗线问题，调节即时生效。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4.支持独立主控的3D功能，可在软件或独立主控的操作面板上开启3D功能，支持设置3D参数显示3D效果。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5.支持通过软件查看接收卡的温度、电压等信息。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6.支持检测网络通讯质量功能，可记录错误包数，协助排除网络通讯隐患。</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24张</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257</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视频处理器</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1.高清输入接口≥3路（其中HDMI≥1路），输出接口≥10路网口。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2.最大带载≥650万像素。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3.支持一键全屏缩放，支持输入源截取，支持画质调整。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4.支持画质调节功能，包括但不限于：亮度、对比度、饱和度、色度等。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5.支持多场景保存和调用，用户可自定义场景≥10个，支持保存、调用、备份。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6.支持逐点亮色度校正功能，可校正各灯点的亮度、色度，整屏亮度色度均匀一致。</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258</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视频处理器</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1.高清输入接口≥2路（其中HDMI≥1路），输出接口≥4路网口。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2.最大带载≥260万像素。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3.支持窗口位置、大小调整、窗口截取等功能。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4.支持画面一键全屏缩放、点对点显示、自定义缩放等多种缩放模式。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5.支持多场景保存、调用，自定义场景≥6个，支持热备份功能。</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259</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10KW智能配电柜</w:t>
            </w:r>
          </w:p>
        </w:tc>
        <w:tc>
          <w:tcPr>
            <w:tcW w:w="6939" w:type="dxa"/>
            <w:tcBorders>
              <w:tl2br w:val="nil"/>
              <w:tr2bl w:val="nil"/>
            </w:tcBorders>
            <w:shd w:val="clear" w:color="000000" w:fill="FFFFFF"/>
            <w:vAlign w:val="center"/>
          </w:tcPr>
          <w:p>
            <w:pPr>
              <w:widowControl/>
              <w:numPr>
                <w:ilvl w:val="0"/>
                <w:numId w:val="1"/>
              </w:numPr>
              <w:jc w:val="left"/>
              <w:textAlignment w:val="center"/>
              <w:rPr>
                <w:rFonts w:ascii="宋体" w:hAnsi="宋体" w:eastAsia="宋体" w:cs="宋体"/>
                <w:color w:val="000000"/>
                <w:kern w:val="0"/>
                <w:sz w:val="18"/>
                <w:szCs w:val="18"/>
                <w:lang w:bidi="ar"/>
              </w:rPr>
            </w:pPr>
            <w:bookmarkStart w:id="9" w:name="OLE_LINK4"/>
            <w:r>
              <w:rPr>
                <w:rFonts w:hint="eastAsia" w:ascii="宋体" w:hAnsi="宋体" w:eastAsia="宋体" w:cs="宋体"/>
                <w:color w:val="000000"/>
                <w:kern w:val="0"/>
                <w:sz w:val="18"/>
                <w:szCs w:val="18"/>
                <w:lang w:bidi="ar"/>
              </w:rPr>
              <w:t>带载：≥10KW配电柜，内含≥4个1P空开、防浪涌保护器及交流接触器等设备。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2.输入电压：≥380V，输出电压：≥220V。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3.具有PLC控制功能，支持智能配电管理软件，智能分步上电和断电等功能。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4.具有短路、过流、过压等各种保护功能。</w:t>
            </w:r>
            <w:bookmarkEnd w:id="9"/>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260</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80KW智能配电柜</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1.带载：≥80KW，具备≥20个1P空开、防浪涌保护器、交流接触器等设备。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2.输入电压：≥380V，输出电压：≥220V。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3.支持PLC控制功能，支持智能配电管理软件，支持智能分步上电/断电等功能。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4.支持短路、过流、过压等各种保护功能。</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261</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20KW智能配电柜</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1.带载：≥20KW，具备≥8个1P空开、防浪涌保护器及交流接触器等设备。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2.输入电压：≥380V，输出电压：≥220V。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3.支持PLC控制功能，支持智能配电管理软件，支持智能分步上电/断电等功能。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4.支持短路、过流、过压等各种保护功能。</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262</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60KW智能配电柜</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1.带载：≥60KW，具备≥12个1P空开、防浪涌保护器及交流接触器等设备。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2.输入电压：≥380V，输出电压：≥220V。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3.支持PLC控制功能，支持智能配电管理软件，支持智能分步上电/断电等功能。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4.支持短路、过流、过压等各种保护功能。</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1台</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263</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钢结构</w:t>
            </w:r>
          </w:p>
        </w:tc>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定制室内钢结构，不锈钢包边，根据现场各LED屏幕尺寸等实际情况按需定制。</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13.06㎡</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264</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钢结构</w:t>
            </w:r>
          </w:p>
        </w:tc>
        <w:tc>
          <w:tcPr>
            <w:tcW w:w="6939" w:type="dxa"/>
            <w:tcBorders>
              <w:tl2br w:val="nil"/>
              <w:tr2bl w:val="nil"/>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定制室外钢结构，不锈钢包边，根据现场各LED屏幕尺寸等实际情况按需定制。</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154.52㎡</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10731" w:type="dxa"/>
            <w:gridSpan w:val="6"/>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8.综合校园管理平台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组织中心</w:t>
            </w:r>
          </w:p>
        </w:tc>
        <w:tc>
          <w:tcPr>
            <w:tcW w:w="6939" w:type="dxa"/>
            <w:tcBorders>
              <w:tl2br w:val="nil"/>
              <w:tr2bl w:val="nil"/>
            </w:tcBorders>
            <w:vAlign w:val="center"/>
          </w:tcPr>
          <w:p>
            <w:pPr>
              <w:widowControl/>
              <w:numPr>
                <w:ilvl w:val="0"/>
                <w:numId w:val="2"/>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用户数据管理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校级数据管理：可实现对学校基础信息、班级信息、师生用户、教学关系等进行维护管理。支持对学生、教师、班级、课程、教师授课、部门管理等信息进行数据维护。支持生成教师、学生账号进行数据组织关系维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班级管理：可按在读、未入学、已毕业等类别，对高中学段所有班级进行管理。可单个/批量新增各校区、各学段、各年级的行政班和分层班。可查看任意班级教师数、学生数等信息。可设置任意班级的班主任、副班主任、任课老师、班级学生等信息。</w:t>
            </w:r>
            <w:r>
              <w:rPr>
                <w:rFonts w:hint="eastAsia" w:ascii="宋体" w:hAnsi="宋体" w:eastAsia="宋体" w:cs="宋体"/>
                <w:color w:val="000000"/>
                <w:kern w:val="0"/>
                <w:sz w:val="18"/>
                <w:szCs w:val="18"/>
                <w:lang w:bidi="ar"/>
              </w:rPr>
              <w:br w:type="textWrapping"/>
            </w:r>
          </w:p>
          <w:p>
            <w:pPr>
              <w:widowControl/>
              <w:numPr>
                <w:ilvl w:val="0"/>
                <w:numId w:val="2"/>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统一身份认证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1.支持统一身份认证：可为接入平台的应用，提供统一的用户身份认证和管理服务。接入应用无需自建用户数据。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2.具备单点登录接口，可为接入平台的应用，提供统一的身份认证标准。用户可通过浏览器界面登录，访问用户权限内，后台多个应用系统，无需重复输入用户名、密码登录。</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3.支持浏览器应用、移动应用接入。</w:t>
            </w:r>
            <w:r>
              <w:rPr>
                <w:rFonts w:hint="eastAsia" w:ascii="宋体" w:hAnsi="宋体" w:eastAsia="宋体" w:cs="宋体"/>
                <w:color w:val="000000"/>
                <w:kern w:val="0"/>
                <w:sz w:val="18"/>
                <w:szCs w:val="18"/>
                <w:lang w:bidi="ar"/>
              </w:rPr>
              <w:br w:type="textWrapping"/>
            </w:r>
          </w:p>
          <w:p>
            <w:pPr>
              <w:widowControl/>
              <w:numPr>
                <w:ilvl w:val="0"/>
                <w:numId w:val="2"/>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数据统计分析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1.支持对学校数据进行汇总、分类、统计展示。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2.支持对单/多个教师、学生数据进行分析，至少包括：年级/班级分布、教师年龄分布、教师性别分布、教师授课学科分布、学生年级人数分布、学生性别人数分布等。</w:t>
            </w:r>
            <w:r>
              <w:rPr>
                <w:rFonts w:hint="eastAsia" w:ascii="宋体" w:hAnsi="宋体" w:eastAsia="宋体" w:cs="宋体"/>
                <w:color w:val="000000"/>
                <w:kern w:val="0"/>
                <w:sz w:val="18"/>
                <w:szCs w:val="18"/>
                <w:lang w:bidi="ar"/>
              </w:rPr>
              <w:br w:type="textWrapping"/>
            </w:r>
          </w:p>
          <w:p>
            <w:pPr>
              <w:widowControl/>
              <w:numPr>
                <w:ilvl w:val="0"/>
                <w:numId w:val="2"/>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日志追溯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1.支持对用户数据进行增/减/删/改等操作，可对行为进行记录。</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2.具备系统操作界面，管理员可查看系统操作日志、数据变更日志等信息。</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业务中心</w:t>
            </w:r>
          </w:p>
        </w:tc>
        <w:tc>
          <w:tcPr>
            <w:tcW w:w="6939" w:type="dxa"/>
            <w:tcBorders>
              <w:tl2br w:val="nil"/>
              <w:tr2bl w:val="nil"/>
            </w:tcBorders>
            <w:vAlign w:val="center"/>
          </w:tcPr>
          <w:p>
            <w:pPr>
              <w:widowControl/>
              <w:numPr>
                <w:ilvl w:val="0"/>
                <w:numId w:val="3"/>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数据集成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数据源：支持管理多种数据组件的链接信息，包括但不限于：数据库IP，端口，用户名，密码等信息。支持对数据组件信息进行新增、编辑、删除、查看、复制等操作。支持多种数据库、大数据存储组件、消息组件、文件组件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集成来源：支持来源信息管理，可设置来源的抽取模式，支持表抽取、sql抽取配置。表抽取模式支持数据表或视图等选择配置，支持增量/全量抽取等方式配置，增量抽取模式可实现增量字段选择，支持增量起始值配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3.集成目的：支持管理业务目的等信息，可实现目的表分表配置，支持解析写入场景，支持配置写入格式、分隔符等。</w:t>
            </w:r>
            <w:r>
              <w:rPr>
                <w:rFonts w:hint="eastAsia" w:ascii="宋体" w:hAnsi="宋体" w:eastAsia="宋体" w:cs="宋体"/>
                <w:color w:val="000000"/>
                <w:kern w:val="0"/>
                <w:sz w:val="18"/>
                <w:szCs w:val="18"/>
                <w:lang w:bidi="ar"/>
              </w:rPr>
              <w:br w:type="textWrapping"/>
            </w:r>
          </w:p>
          <w:p>
            <w:pPr>
              <w:widowControl/>
              <w:numPr>
                <w:ilvl w:val="0"/>
                <w:numId w:val="3"/>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数据资产管理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1.数据资产盘点：支持查看平台中已编制的所有数据目录，可按各层数据库分别展示，可查看现阶段所有数据资产信息，可展示各层级所有资产的详细信息，可导出资产。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数据标准管理：支持对平台的标准字典进行管理，可对各类标准字典和字典项进行新增/编辑，支持扩充字典库。数据标准包括不限于：国标、部标、行标等。支持标准字典的查询、删除、启用、禁用、导入、字典模型映射、字段调整等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3.数据源管理：支持管理各类异构数据库，支持添加、禁用、启用数据源。支持Oracle等多种数据库类型。支持ETL-接入任务、ETL-规整任务、ETL-作业等ETL数据源。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4.数据资源管理：可按数据目录进行分类，可新增数据资源，支持数据目录的编辑、查询、删除、启用、停用、导出、导入等操作。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5.数据权限管理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1)维度管理：支持对维度进行新增、查询、编辑、删除等操作，支持分类管理。维度数据可应用于用户属性配置。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2)用户角色授权：支持按角色、用户等多种授权方式，可从数据集、数据项、数据范围、可视化大屏等，分别进行用户角色授权。</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底层应用中心</w:t>
            </w:r>
          </w:p>
        </w:tc>
        <w:tc>
          <w:tcPr>
            <w:tcW w:w="6939" w:type="dxa"/>
            <w:tcBorders>
              <w:tl2br w:val="nil"/>
              <w:tr2bl w:val="nil"/>
            </w:tcBorders>
            <w:vAlign w:val="center"/>
          </w:tcPr>
          <w:p>
            <w:pPr>
              <w:widowControl/>
              <w:numPr>
                <w:ilvl w:val="0"/>
                <w:numId w:val="4"/>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应用管理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1.支持查看应用开通情况、使用情况等，至少包括：已开通应用数量、已启用应用数量、已停用应用数量等信息。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2.支持查看已开通的应用信息，至少包括：应用名称、应用简介、开发者信息、上架状态等；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3.▲具有信息安全检测功能，支持文本、图片信息安全检测管理功能，实现对文本、图片的有效拦截。(投标文件中须提供具有CMA或CNAS认证标识的检测报告扫描件)</w:t>
            </w:r>
            <w:r>
              <w:rPr>
                <w:rFonts w:hint="eastAsia" w:ascii="宋体" w:hAnsi="宋体" w:eastAsia="宋体" w:cs="宋体"/>
                <w:color w:val="000000"/>
                <w:kern w:val="0"/>
                <w:sz w:val="18"/>
                <w:szCs w:val="18"/>
                <w:lang w:bidi="ar"/>
              </w:rPr>
              <w:br w:type="textWrapping"/>
            </w:r>
          </w:p>
          <w:p>
            <w:pPr>
              <w:widowControl/>
              <w:numPr>
                <w:ilvl w:val="0"/>
                <w:numId w:val="4"/>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应用开发助手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1.新建应用：支持通过语音对话创建业务流程类应用。支持对所创建应用进行编辑、赋权、试用、分享等操作。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2.大模型对话助手：支持语音输入功能，支持与大模型语音交互功能。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3.智能应用编辑：支持通过语音对话编辑、修改应用。支持判断、识别用户场景，可根据不同场景进行提示。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4.低代码应用编辑：支持页面与组件的可视化设置。支持文本输入、多行输入、数值、单选、多选、级联选择、地区选择、日期选择、时间选择、评分等组件。支持设置组件的显/隐、填写等状态。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5.应用试用：支持应用预览试用功能，可在沙箱测试等环境体验应用，产生数据可与生产环境隔离。可提供多种角色的试用账号，可任意切换角色，以体验不同角色使用应用时可查看与操作的内容。</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系统管理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1.系统分类管理：具备系统分类标签，至少包括：安防、通行、能耗等分类标签，支持智能化系统分类、学校业务系统分类、融合应用分类等。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2.系统版本号管理：可通过厂商信息、系统名称、版本信息、所属业务分类，实现多厂商系统统一管理。支持对厂商、系统、版本号、简称、系统示例图等信息进行新增、编辑、删除、查询等操作。</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269</w:t>
            </w:r>
          </w:p>
        </w:tc>
        <w:tc>
          <w:tcPr>
            <w:tcW w:w="1107" w:type="dxa"/>
            <w:tcBorders>
              <w:tl2br w:val="nil"/>
              <w:tr2bl w:val="nil"/>
            </w:tcBorders>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系统集成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API管理：支持管理厂商系统提供的API，至少包括：Restful服务、WebService等多种服务类型。API内容包括但不限于：名称、访问路径、请求方式、请求协议、多层级输入/输出参数、关联jar包等信息。支持对API进行在线测试，可查看API连接成/败，可查看返回数据的格式、内容。支持按分类、名称、测试状态、发布状态等条件查询API，支持新增、编辑、删除API，可优先从沉淀端引用已标准化的API。</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消息管理：支持管理厂商系统提供的消息服务和消息队列。支持多种服务组件类型，至少包括：Kafka，RocketMQ，ActiveMq，RabbitMq、MQTT等。消息服务可自定义内容，至少包括：服务名称、服务类型、端口地址、认证方式等信息。支持自定义Topic信息，至少包括：消息队列名称、数据格式等信息。支持根据样例数据自动解析列名。消息队列结构可用于任务集成，可作为来源字段或目的字段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库表管理：支持管理厂商系统提供的数据库/表等信息。支持多种服务组件类型，至少包括：Mysql，Oracle，GBase8a等。数据源定义内容，包含但不限于：数据源名称、类型、IP、端口、用户名、密码、数据库名等信息。支持配置项连接测试验证，支持定义表/字段信息，支持按已有表、自定义SQL等多种定义方式。支持自动获取表/字段信息，支持手动添加表/字段信息。可按数据源名称、表资源名称等条件进行查询，支持新增、编辑、删除数据库/表，可优先从沉淀端引用已标准化的数据源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备管理：支持通过设备管理，实现业务应用与物联设备的数据联调。可采集物联设备端数据，可融合业务数据，可联动跨厂商设备、可下发应用指令等。支持通过可视化配置，实现更换设备厂商或设备型号，无需调整代码。</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单点登录</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1.分析规划：支持根据三中智慧校园及智能化建设系统，设计各系统软件单点登录方案。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2.身份验证和集中授权：支持定制或配置适应需求的身份验证和授权服务，可实现通过单一凭据登录多个应用程序和系统。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3.数据同步：支持实施用户数据同步机制，可实现用户信息在各应用程序和系统之间同步一致。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4.安全控制和权限控制：支持安全控制措施，包括但不限于：强密码策略、多因素身份验证、访问控制列表、权限管理等措施，保障系统安全。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5.应用程序集成：支持与现有应用程序和系统集成，可与单点登录系统协同工作。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6.测试和验证：支持系统级、用户级测试验证，确保单点登录功能正确可靠。</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7.实现单点登录系统包括：停车系统、信息发布、广播系统、视频监控系统、校园一卡通系统、消费管理子系统、门禁管理子系统、电子围栏子系统、报警求助系统、楼宇自控、能耗监测及智慧物联系统、机房工程、智慧课堂系统、学业评价系统、智慧体育操场系统、校园可视化平台、校园综合应用（人脸注册、智慧访客、班主任助手、智慧安全等）。</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271</w:t>
            </w:r>
          </w:p>
        </w:tc>
        <w:tc>
          <w:tcPr>
            <w:tcW w:w="1107" w:type="dxa"/>
            <w:tcBorders>
              <w:tl2br w:val="nil"/>
              <w:tr2bl w:val="nil"/>
            </w:tcBorders>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融合数据管理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主体库分类管理：具备基础主体库、业务主体库、标准字典库等分类，可自定义不同业务主体库类型，至少包括：人员库、空间库、设备库等。人员库可维护所有人员信息，至少包括：人员身份信息、人脸信息、卡信息等。空间库可维护标准空间结构，至少包括：楼栋、楼层、房间、过道、分类标签等。设备库可维护物联设备上报信息及处置信息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数据表管理：支持管理融合库/表数据资源。支持界面创建表结构信息到融合库，支持加载数据库已有表结构信息到平台管理。支持对资源进行新增、修改、启用/停用，删除、导入等操作。支持优先从沉淀端引用已标准化的表结构。支持查看融合库已管理的表结构信息，至少包括：字段名称，字段类型等属性。支持预览详细数据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3.表关系配置：支持配置融合库中多个表之间的关联关系。支持通过可视化的配置方式，实现表资源拖拽到画布，表结构信息展示和表之间的字段关联关系配置。</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接口开发</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数据接口开发：具备构建数据接口能力，至少包括：接口名称、路径、表信息等。可配置请求参数和返回参数；支持向导模式配置接口，支持可视化配置，无需具备编码能力，即可快速将数据表配置成一个数据接口；支持脚本模式配置接口，支持多表关联、复杂查询和聚合函数等功能，自定义查询SQL，灵活满足复杂的查询需求；支持按分类，名称、测试状态、发布状态等对接口进行查询，支持接口的新增编辑和删除，新增过程支持优先从沉淀端引用已标准化的接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2.函数接口开发：实现Jar包管理，支持动态上传jar包，辅助API完成复杂的定制化数据获取需求；提供在线编辑接口脚本功能，可实现自定义接口参数灵活定义，实现线下零散服务统一线上管理功能。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3.发布管理：对已开发的接口进行发布管理，决定是否上传到服务网关，支持发布和取消发布操作。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4.接口分类管理：对平台开发的接口进行分类管理，支持按树结构进行自定义分类，支持分类新增、编辑、移动和删除功能。</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消息开发</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Topic管理：构建实时消息通道，实现跨应用消息集成能力，支持自定义Topic信息管理，包含Topic名称，数据格式；支持给厂商系统进行授权，实现按生产端和消费端不同数据对接方式进行授权；支持已授权厂商标准SDK服务下载，支持取消授权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消息查询：消息查询主要用于查询生产和消费的消息详情，支持按Topic名称，Message查询和消费者查询三种方式；支持查看消息轨迹详情，展示消费跟踪记录信息,支持查看消息从生产到消费的完整链路和Topic堆积情况；支持查看消息的详细内容，包括消息id、客户端地址、标签及存储时间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3.状态查询：支持查看订阅的厂商系统、状态、topic名称、堆积量以及最近消费时间等；支持按消费者维度查看历史消费情况，包含消费端IP，消费状态和消费时间。</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任务开发</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1.任务链路管理：建设任务链路管理功能，支持按场景构建任务链路管理能力，支持多任务的集中开发，通过链路刻画数据的流向。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单任务管理：单任务管理列表通过目录树对任务进行逻辑分类，支持按来源系统、目的系统和链路三个维度分类查看；管理已创建的集成任务，包含任务的查看、编辑、删除、开启和关闭功能；数据抽取后台执行程序读取任务的配置信息，将配置信息作为参数设置工作流，初始化抽取工作流，并执行抽取工作流；定时器任务管理：支持定时器任务管理，支持查看定时器任务名称、状态以及定时器表达式；支持定时器任务编辑、开启、关闭、立即执行和删除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任务调度明细管理：支持集成任务调度明细管理和查看，支持用户查看任务每次运行状态、启动时间、运行时长、获取成功量、写入成功量和集成速率等集成过程指标；支持日志查看，运行异常或有失败数据的任务展示过程中异常信息，帮助运维人员及时了解集成过程详细信息和异常日志，快速定位解决问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4.定时器调度明细管理：实现定时器任务每次触发执行调度记录管理，包含运行状态，运行时间和日志信息。</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授权管理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1.系统授权管理：实现对接厂商系统API的授权管理。依据厂商系统ID信息，自动生成访问API服务时需要的鉴权秘钥信息，展示厂商系统已授权API数量和最近变更时间。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2.授权API：建立厂商系统和API之间绑定关系，同一个厂商系统，支持授权多个API。已授权API支持解除授权。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3.授权SDK：支持查看厂商系统已授权SDK信息，查看厂商系统认证信息包含公钥，私钥和AppSecret；支持下载标准SDK服务，用于厂商系统快速集成。</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策略管理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负载策略管理：负载策略用于配置服务访问后端的策略，用于API网关进行负载、熔断管理。支持以轮询、IP-Hsah两种方式创建负载策略；实现负载策略定义，包含负载方式配置、熔断频率、熔断标准、熔断时长以及失败重试规则；实现策略和API绑定关系管理，支持批量绑定和解除绑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2.流量策略管理：流量策略提供厂商系统访问API的流量管控能力。实现按分钟、小时和天的粒度进行API调用次数控制；实现厂商系统调用次数、并发数、截止日期和传输数据量等维度的流量控制。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3.安全策略管理：安全策略提供API黑名单配置，支持填写黑名单IP地址，并设置生效时间，以保证服务调用的安全性。</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服务管理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1.市场供给：展示平台对外开放的所有API服务、消息服务以及库表服务，包含服务名称、已授权系统明细、服务详情。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2.厂商供给：展示厂商系统提供的服务，包含服务名称和已授权系统明细以及服务详情。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3.已授权服务：展示厂商系统被授权的服务清单；支持用户查看服务调用详情，服务名称，接口地址，厂商系统ID、公钥、秘钥、AppSecret信息；支持下载标准SDK服务，用于第三方系统快速集成。</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服务监测</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1.服务运行监测：展示服务相关统计信息，针对HTTP和HTTPS协议（统计SDK调用API网关核心服务请求次数）。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2.服务调用监测：可查看服务调用次数统计、厂商系统调用次数统计、服务运行情况、拦截黑名单数、熔断次数、服务调用延时统计、服务失败类型统计。</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279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告警监测</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1.告警管理：支持记录任务、协议、机器、组件的每一次告警情况，方便运维人员进行异常定位。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2.告警推送配置：支持配置异常告警的推送地址、告警和类型等信息，作为各运行过程告警生成的基础信息。</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组件监测</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1.机器监控：支持查看机器IP信息、CPU占用率、内存使用率和磁盘占用率。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2.组件监控：支持查看系统后台运行服务状态，部署服务器IP和告警信息等。</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态势总览</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支持按日、周、月等时间维度展示数据，包括不限于：</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1.与平台互联互通的系统总数、集成数据总量、开放数据总量。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2.平台通过API集成、物联集成、库表集成、消息集成的数据量；平台治理的数据量；平台通过标准的API及消息服务开放的数据量。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3.API集成的数量、调用次数、平均响应时间以及调用成功率。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4.物联集成的物模型数量、设备数量。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5.集成的库表数量及通过库表集成获取的数据量。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6.平台支撑的安全态势、设备态势、通行态势以及能耗态势的核心指标数据，包括安全告警数、物联设备数等指标。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7.任务总数、任务调度次数、任务读取的数据总量、TOP3任务排名情况。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8.消息服务数以及消息通道数。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9.各系统之间、各系统与平台间的数据调度次数，并以醒目色刻画系统间最近是否存在调度失败的情况。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10.支持下拉查看某个系统与其他系统、或某2个系统之间的调度明细。</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链路态势</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1.以链路的方式刻画数据在系统之间的流动，方便用户快速定位导致数据出问题的环节。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2.展示链路内部各个单链的数据流动情况，包括数据的来源及目的，数据近3次的调度明细，包括每一次的调度结果、时间、运行时长、获取量以及速率。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3.以时间线的方式展示最近的调度明细，统计调度成功次数、调度失败次数以及无法获知调度结果的次数。</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停车系统模块集成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根据一期智能化停车管理系统建设内容，停车管理系统提供数据接口，集成停车系统，实现设备信息、状态、停车通行记录等数据接入。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信息发布模块集成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根据一期智能化信息发布系统建设内容，信息发布系统提供数据接口，集成信息发布系统，实现信息发布设备信息、状态、远程控制等接入。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广播系统模块集成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根据一期智能化校园广播系统建设内容，校园广播系统提供数据接口，集成校园广播系统，实现校园广播系统设备信息、状态、远程控制等接入。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视频监控系统模块集成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根据一期智能化视频监控系统建设内容，视频监控系统提供数据接口，集成视频监控系统，实现监控设备信息查看、调用、远程控制（云台）、安防告警事件等接入。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校园一卡通系统模块集成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根据后期智能化一卡通系统建设内容，一卡通系统提供数据接口，集成一卡通系统，实现设备信息、状态、人员通行记录等数据接入。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消费管理子系统模块集成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根据后期智能化消费管理系统建设内容，消费系统提供数据接口，集成消费系统，实现设备信息、状态、消费记录等数据接入。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门禁管理子系统模块集成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根据后期智能化门禁管理系统建设内容，门禁系统提供数据接口，集成消费系统，实现设备信息、状态、人员通行记录、门禁开关记录、远程控制等数据接入。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电子围栏子系统模块集成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根据一期智能化电子围栏系统建设内容，电子围栏系统提供数据接口，集成电子围栏子系统，实现数据接入，实现设备信息、状态、报警记录的查询。</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报警求助系统模块集成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根据一期智能化报警求助系统建设内容，报警求助系统提供数据接口，集成报警求助系统，实现设备信息、实时报警信息等数据接入。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楼宇自控模块集成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根据楼宇自控系统建设内容，楼宇自控系统提供数据接口，集成楼宇自控系统，实现设备信息、状态、报警记录等数据接入。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能耗监测及智慧物联系统模块集成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根据能耗监测及智慧物联系统建设内容，能耗监测及智慧物联系统提供数据接口，集成能耗监测及智慧物联系统，实现设备信息、状态监控、能耗数据、远程控制开关等数据接入。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机房工程模块集成</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根据机房工程建设内容，机房工程提供数据接口，集成机房工程模块，实现机房设备信息、状态、机房告警等接入。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智慧课堂系统模块</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根据智慧课堂建设内容，智慧课堂提供数据接口，集成智慧课堂模块：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1.支持展示基础设施模块，包括已采购设备的师机比、班机比、生机比。</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2.支持展示教学应用模块，包括使用智慧课堂进行备课、授课、互动的参与率数值，以及开展课程的总数。</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学业评价系统模块</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根据智慧课堂学生评价系统建设内容，提供数据接口，集成学业评价系统模块：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1.支持展示作业分析模块，包括不同学段的学生日均作业时长的数值以及各学科单份作业的题量，作业系统提供接口及数据。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2.支持展示数字化资源模块，包括建设资源的种类以及数量占比，同时展示使用资源的次数分布，学业评价系统提供接口及数据。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3.支持展示学生学业模块，包括学生掌握知识点数量及知识点薄弱数，并通过象限图谱展示每个学科年级各个知识点的掌握情况，学业评价系统提供接口及数据。</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智慧体育操场模块</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智慧体育操场系统建设内容，提供数据接口，集成智慧提供操场系统模块，支持展示智慧体育操场模块，包括智慧体育操场开课数、参与教师数、参与学生数、预警次数指标，并且通过分布图展示学生各个体测项目的成绩分布情况。</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三维基础建模服务</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基于蚌埠三中淮上校区建筑CAD图纸对建筑室外和室内进行三维建模，对建筑物内的智能化设备进行可视化的管理，使管理更加便捷，具有场景化的管理能力。整体要求如下：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可视化建立逼真的虚拟建筑场景，虚拟建筑外立面与真实建筑立面保持一致，并且对周边环境进行高拟真还原，要求与真实的场景保持一致，虚拟建筑能够进行大小缩放、分层查看、分间查看、能够进行平面360度旋转、立面180度旋转，能够自由操作，便于运维管理人员操控，加快响应速度，缩短处理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2.建模内容根据实际管控需要模拟包括但不限于建筑内外、固定设备和设施。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3.建设对象包含但不限于校园建筑外立面、室内结构布局、周边地形地貌等。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本着实景化、实境化、精细化的要求，将模型按照真实环境进行全方位展示，并在真实环境基础上进行形象化的描述，针对特定部件进行特定的贴图、组合等操作，以求达到精细、直观、真实的展示建筑的细节。</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299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环境可视化</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1.支持直观展示校园周围的建筑、道路分布等信息；场景中主要建筑以信息牌的方式展示，方便用户快速确认位置；展示建筑内部的空间分布及结构导览，设施分布布局等，并以信息牌展示具体信息。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整体室外场景，以及周边道路、建筑、道路、绿化、细节；平台具备强大的计算能力，能够实时仿真模拟校园一天24小时、一年春夏秋冬四个季节的天气效果，以及校园下雨、下雪、雾天等美景，场景仿真能够和网络实时天气系统打通，做到实时同步更新。</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室外建筑可视化</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1.建筑结构外立面三维场景建模定制服务，实现完整呈现建筑的外观，根据建筑物的真实外观完成3D建模，展示建筑的基本规格信息，及配套建筑用房等外观。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2.在3D可视化场景中，对于场景内的公用设施也会建模并在三维场景中进行展示，完整呈现建筑的外观，根据建筑物的真实外观完成3D建模，展示楼宇的详细外观信息。</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结构可视化</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建筑楼层三维场景建模定制服务，实现完整呈现建筑楼层房间结构，根据楼层的实际建筑结构完成3D建模，包括主要建筑中的布局结构等，实现以虚拟仿真的形式完整呈现室内结构。具体要求包括但不限于以下功能：</w:t>
            </w:r>
            <w:r>
              <w:rPr>
                <w:rFonts w:hint="eastAsia" w:ascii="宋体" w:hAnsi="宋体" w:eastAsia="宋体" w:cs="宋体"/>
                <w:color w:val="000000"/>
                <w:kern w:val="0"/>
                <w:sz w:val="18"/>
                <w:szCs w:val="18"/>
                <w:lang w:bidi="ar"/>
              </w:rPr>
              <w:br w:type="textWrapping"/>
            </w:r>
          </w:p>
          <w:p>
            <w:pPr>
              <w:widowControl/>
              <w:numPr>
                <w:ilvl w:val="0"/>
                <w:numId w:val="5"/>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室外高清还原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1.为保证最优的可视化效果，基础场景采用实时渲染技术引擎开发，包括但不限于光线的追踪、反射、散射、漫射等真实传播规律的仿真。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2.根据项目的CAD图纸，现场实拍图等提供逼真的场景还建筑室外的建筑结构，室外材质高拟真呈现，无明显的掉色、失真、噪点等不良视觉效果。周边环境建设范围500m，周边示意性摆放白模。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3.模型结构尺寸最大允许省略尺寸≤0.5m。</w:t>
            </w:r>
            <w:r>
              <w:rPr>
                <w:rFonts w:hint="eastAsia" w:ascii="宋体" w:hAnsi="宋体" w:eastAsia="宋体" w:cs="宋体"/>
                <w:color w:val="000000"/>
                <w:kern w:val="0"/>
                <w:sz w:val="18"/>
                <w:szCs w:val="18"/>
                <w:lang w:bidi="ar"/>
              </w:rPr>
              <w:br w:type="textWrapping"/>
            </w:r>
          </w:p>
          <w:p>
            <w:pPr>
              <w:widowControl/>
              <w:numPr>
                <w:ilvl w:val="0"/>
                <w:numId w:val="5"/>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室内还原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1.根据项目的CAD图纸，和装修图纸以及现场实拍图等，对室内示意性还原，还原内部建筑布局，真实呈现室内场景。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2.本项目建筑内部使用低精度内部结构布局，墙面使用墙纸效果，地面和公共区域统一材质，效材质效果和现场相似，示意性还原。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3.内部含楼梯，门窗等，示意性还原，不包含道具和装饰建模。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4.室内模型结构最大允许省略尺寸≤1m。</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精细化建模可视化</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根据提供的建筑CAD图纸和实拍图，对机房、礼堂、风雨操场、教室，呈现精细化还原效果，包含门窗、装修、固定设备陈设。</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综合态势</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综合态势整合建筑运营数据和事件，融合建筑内现有资源，对人员、车辆、空间、设备、效能等各管理领域的关键指标进行监测分析，辅助管理者全面掌控建筑内运行态势，实现人、事、物、空间、信息的数据信息融合，为管理者和运营人员提供全局视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1.结合智能化系统及设备，智能分析当前时间建筑内人员总数、车辆总数；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2.结合数字孪生场景，将各重点精细化建模的空间进行统一汇总，并完成空间联动定位展示。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3.支持数字孪生场景以固定视角720°旋转展示建筑全貌。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4.支持以第一人称视角漫游方式，结合制定路线进行场景漫游。</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5.支持模拟一天24小时光照情况，根据实时天气状况进行场景天气切换。</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智慧通行场景</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一、综合展示</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1.展示当前建筑内今日进入人次统计、今日预约访客及到访情况。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2.展示当日各时间段人员通过门禁人次，对进入离开形成统计趋势分析。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3.实时今日人员通行历史记录，支持动态刷新，点击查看详情。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4.对接停车系统，展示建筑内车位总数，以及当前空闲车位数。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5.展示当日各时间段车辆进出道闸情况，对进入离开形成统计趋势分析。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6.对关键出入口监控进行重点呈现，实时展示播放出入口监控画面。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7.实时今日车辆通行历史记录，支持动态刷新，点击查看详情。</w:t>
            </w:r>
            <w:r>
              <w:rPr>
                <w:rFonts w:hint="eastAsia" w:ascii="宋体" w:hAnsi="宋体" w:eastAsia="宋体" w:cs="宋体"/>
                <w:color w:val="000000"/>
                <w:kern w:val="0"/>
                <w:sz w:val="18"/>
                <w:szCs w:val="18"/>
                <w:lang w:bidi="ar"/>
              </w:rPr>
              <w:br w:type="textWrapping"/>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二、门禁设备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1.设备状态统计：统计门禁设备总数及在离线数。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2.门禁设备列表：展示所有门禁设备列表，支持根据在设备状态和设备名称筛选查询，点击设备列表展示设备详细信息，今日通行人次，支持远程控制门禁设备开启关闭，并联动数字孪生场景进行空间定位展示。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3.门禁设备分布：结合数字孪生场景，以信息牌方式展示各个楼栋的设备数量统计和在离线情况，支持用户基于建筑进行筛选查看。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4.通行记录：支持基于门禁设备、日期和人员姓名筛选查询人员通行历史记录，点击可查看详情。</w:t>
            </w:r>
            <w:r>
              <w:rPr>
                <w:rFonts w:hint="eastAsia" w:ascii="宋体" w:hAnsi="宋体" w:eastAsia="宋体" w:cs="宋体"/>
                <w:color w:val="000000"/>
                <w:kern w:val="0"/>
                <w:sz w:val="18"/>
                <w:szCs w:val="18"/>
                <w:lang w:bidi="ar"/>
              </w:rPr>
              <w:br w:type="textWrapping"/>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三、道闸设备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1.出入口监控：对关键出入口监控进行重点呈现，实时展示播放出入口监控画面。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2.道闸设备列表：展示所有道闸设备列表，点击设备列表展示设备详细信息，今日通行车次，支持远程控制道闸设备开启关闭，并联动数字孪生场景进行空间定位展示。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3.通行记录：支持基于道闸设备、日期和车牌号筛选查询车辆通行历史记录，点击可查看详情。</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机房动环场景</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1.UPS检测统计：展示当前机房UPS供电模式、电池总量、今日功率情况。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2.配电柜检测：对配电柜电压、负载数据进行分类统计展示。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3.机房告警统计：展示机房告警次数及处理情况，基于告警类别进行分类统计。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4.机房告警列表：展示机房全部告警信息列表，支持时间筛选。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5.精细化展示：对机房空间进行高度还原，同时结合数字孪生场景实时展示机房UPS、新风、空调、温湿度、配电柜等各类指标。</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智慧能耗场景</w:t>
            </w:r>
          </w:p>
        </w:tc>
        <w:tc>
          <w:tcPr>
            <w:tcW w:w="6939" w:type="dxa"/>
            <w:tcBorders>
              <w:tl2br w:val="nil"/>
              <w:tr2bl w:val="nil"/>
            </w:tcBorders>
            <w:vAlign w:val="center"/>
          </w:tcPr>
          <w:p>
            <w:pPr>
              <w:widowControl/>
              <w:numPr>
                <w:ilvl w:val="0"/>
                <w:numId w:val="6"/>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用电分析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1.设备状态统计：统计电表设备总数及在离线数。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2.电表设备列表：展示所有电表设备列表，点击设备列表展示设备详细信息，今日用电量，并联动数字孪生场景进行空间定位展示。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3.电表设备分布：根据建筑内部各区域进行设备分布及数量统计；结合数字孪生场景，以信息牌方式展示各个楼栋的设备数量统计和在离线情况，支持用户基于建筑进行筛选查看。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4.用电总量：统计今日累计用电总量。</w:t>
            </w:r>
            <w:r>
              <w:rPr>
                <w:rFonts w:hint="eastAsia" w:ascii="宋体" w:hAnsi="宋体" w:eastAsia="宋体" w:cs="宋体"/>
                <w:color w:val="000000"/>
                <w:kern w:val="0"/>
                <w:sz w:val="18"/>
                <w:szCs w:val="18"/>
                <w:lang w:bidi="ar"/>
              </w:rPr>
              <w:br w:type="textWrapping"/>
            </w:r>
          </w:p>
          <w:p>
            <w:pPr>
              <w:widowControl/>
              <w:numPr>
                <w:ilvl w:val="0"/>
                <w:numId w:val="6"/>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用水分析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1.设备状态统计：统计水表设备总数及在离线数。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2.水表设备列表：展示所有水表设备列表，点击设备列表展示设备详细信息，并联动数字孪生场景进行空间定位展示。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3.水表设备分布：根据建筑内部各区域进行设备分布及数量统计；结合数字孪生场景，以信息牌方式展示各个楼栋的设备数量统计和在离线情况，支持用户基于建筑进行筛选查看。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4.用水总量：统计今日累计用水总量。</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视频监控场景</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1.设备状态统计：统计监控设备总数及在离线数。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2.监控设备类型统计：分类展示各类监控设备数量，如枪机、半球、云台枪机等。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3.监控设备分布：根据建筑内部各区域进行设备分布及数量统计；结合数字孪生场景，以信息牌方式展示各个楼栋的设备数量统计和在离线情况，支持用户基于建筑进行筛选查看。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4.接入视频报警系统，对告警事件进行统计分析，按照日周月纬度进行统计展示。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5.统计近30天内告警总数、告警处理情况进行趋势统计分析。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6.展示重点区域监控列表，播放重点区域视频监控画面，支持进行切换查看。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综合展示建筑内所有监控设备，包括监控设备总数、在离线数，可基于设备名称和在离线状态进行设备查询，统一展示设备列表；支持点击设备查看详情，支持监控实时画面展示、支持云台操控，并联动数字孪生场景，进行空间定位；同时手动设置重点监控设备，联动重点区域监控列表功能，进行同步更新。</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其他智慧场景</w:t>
            </w:r>
          </w:p>
        </w:tc>
        <w:tc>
          <w:tcPr>
            <w:tcW w:w="6939" w:type="dxa"/>
            <w:tcBorders>
              <w:tl2br w:val="nil"/>
              <w:tr2bl w:val="nil"/>
            </w:tcBorders>
            <w:vAlign w:val="center"/>
          </w:tcPr>
          <w:p>
            <w:pPr>
              <w:widowControl/>
              <w:numPr>
                <w:ilvl w:val="0"/>
                <w:numId w:val="7"/>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楼控设备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1.设备状态统计：统计新风、空调、送排风等设备总数及故障设备数。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2.楼控设备列表：展示楼控设备列表，点击设备列表展示设备详情信息，包含但不限于设备状态、空调温度、模式设置，远程开关机，并联动数字孪生场景进行空间定位展示。</w:t>
            </w:r>
            <w:r>
              <w:rPr>
                <w:rFonts w:hint="eastAsia" w:ascii="宋体" w:hAnsi="宋体" w:eastAsia="宋体" w:cs="宋体"/>
                <w:color w:val="000000"/>
                <w:kern w:val="0"/>
                <w:sz w:val="18"/>
                <w:szCs w:val="18"/>
                <w:lang w:bidi="ar"/>
              </w:rPr>
              <w:br w:type="textWrapping"/>
            </w:r>
          </w:p>
          <w:p>
            <w:pPr>
              <w:widowControl/>
              <w:numPr>
                <w:ilvl w:val="0"/>
                <w:numId w:val="7"/>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信息发布设备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1.设备状态统计：统计信息发布设备总数及在离线数。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2.信息发布设备列表：展示所有信息发布设备列表，点击设备列表展示设备详细信息，展示当前信息发布内容，并联动数字孪生场景进行空间定位展示。</w:t>
            </w:r>
            <w:r>
              <w:rPr>
                <w:rFonts w:hint="eastAsia" w:ascii="宋体" w:hAnsi="宋体" w:eastAsia="宋体" w:cs="宋体"/>
                <w:color w:val="000000"/>
                <w:kern w:val="0"/>
                <w:sz w:val="18"/>
                <w:szCs w:val="18"/>
                <w:lang w:bidi="ar"/>
              </w:rPr>
              <w:br w:type="textWrapping"/>
            </w:r>
          </w:p>
          <w:p>
            <w:pPr>
              <w:widowControl/>
              <w:numPr>
                <w:ilvl w:val="0"/>
                <w:numId w:val="7"/>
              </w:numPr>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校园广播设备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1.设备状态统计：广播终端状态。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2.广播设备列表：展示所有广播终端列表，支持终端设备名称筛选搜索，点击设备列表展示设备详细信息，展示当前广播内容，并联动数字孪生场景进行空间定位展示。</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智慧运维场景</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1.对接学校工单运维系统。</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2.展示每月工单数量和趋势图。</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3.今日工单产生的总数，已完成处理数量、未处理的数量。</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4.展示已产生的工单类型的数量分布，如物业报修、物业报事、设备维护等。</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教学态势场景</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根据智慧课堂系统平台、学生评价系统、智慧操场系统等数据接入情况，提供教学相关场景的定制化业务场景，包括但不限于：</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1.学生学生科目考试、班级科目考试、学校考试情况。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2.学生作业情况，班级作业情况。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3.学生体测结果、体测过程、体测项目等情况。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4.教师作业批改率、教师授课次数、教师互动次数等情况。</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校园安全报警管理</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1.结合门禁、道闸、人脸、消费等多类数据，完成建筑内人员融合轨迹分析，实现个人轨迹回溯查看；结合道路路网属性，在数字孪生场景中进行轨迹还原。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2.接入安防相关告警信息，展示告警列表，同时支持实时联动数字孪生场景，聚焦到告警发生位置，并展示告警特效。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3.结合集成子系统模块，提供电子围栏、报警按钮、安防报警等各种报警信息，实时推送报警状态，提供报警具体位置，根据报警预案在线处理。</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归寝数据可视化场景</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1.面向宿管工作人员提供智慧归寝数据大屏服务，对每日归寝信息进行直观展示，工作人员可快速了解楼栋具体人员归寝信息及异常人员出入情况，辅助工作人员快速、便捷、精准的掌握楼栋整体情况。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2.结合门禁、通道、人脸等系统数据，提供归寝关键数据信息展示，包括本栋宿舍楼的住宿总人数、请假人数、多日未出人数和多日未归人数。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3.以柱状图、饼状图按专业、班级、院系统计宿舍楼异常留寝人数信息。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4.展示宿舍楼每个宿舍的状态，并对异常状态的宿舍，特殊颜色标识。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5.展示各楼层及宿舍当日归寝信息，至少包含已归寝、未完全归寝和无归寝。</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人脸信息注册</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1.提供app应用，实现教师和学生自行进行人脸信息注册，为人脸数据下发提供统一人脸数据库。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2.通过人脸注册系统注册人脸后，若人脸照片不符合要求，支持提醒用户重新上传。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3.上传的人脸照片和教师、学生进行绑定，将人脸数据自动下发给其他子系统。</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访客系统移动端（访客）</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1.个人信息登记：访客首次进入或非首次进入但未填写个人信息的访客，填写个人信息：姓名、手机号、所在单位、职务等信息。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发起预约：预约信息填写：被访人手机、随访人（可添加多个访客，姓名、手机号）、到访时间、到访事由、车牌号等。预约校验：使用“手机号码+姓名”的方式验证员工，即手机号与被访人姓名皆为必填项；预约成功：展示预约发起成功页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3.我的预约：查看我的预约记录，支持点击查看对应预约详情，根据不同的预约状态支持取消预约、修改、再次发起预约、删除等操作。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4.我的信息：查看及修改访客个人信息，提供“注销信息”操作，支持用户注销个人信息。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5.消息通知：“拒绝预约、“发起预约”“同意预约”、访客入校到访以微信消息和短信消息告知访客和随访人。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6.短信预约短信提前录入人脸照片，或者微信小程序查看人行摆闸通行二维码实现快速通行。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7.签到核验：安保人员可以通过小程序进行访客信息及访客预约真实性扫码核验。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8.部署方式：微信小程序或公众号组件。</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访客系统手机端（教职工）</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1.消息通知（短信）：接收访客预约申请、访客到访、预约取消消息。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2.预约审核：展示待审核预约列表，点击任意待审核预约查看预约详情，可进行接受或拒绝预约操作，拒绝预约需要输入拒绝原因。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3.访客邀约：被访人主动发起邀约，支持邀约多人，最多支持邀请≤15人，邀约成功后访客通过短信接收邀约提醒，包含人脸信息录入链接，方便进行人脸通行权限下发。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4.预约、邀约记录：查看该账号所有访客拜访记录、邀约记录。</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访客系统电脑pc端</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1.访客管理：已注册访客信息管理及查询，支持将对应访客加入黑名单，黑名单访客不能在进行预约以及随访；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2.访客邀约：批量导入邀约，邀约成功被邀访客接收短信通知。邀约记录：查看邀约记录；</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3.预约记录：所有访客预约记录查看；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4.系统设置：下发权限设置：权限是否下发至摆闸、道闸；签到方式设置，支持手动签到、定位签到、安保人员手动核验；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场景联动</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1.访客预约审批通过后，访客可通过二维码刷卡通行人行摆闸和门禁。</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2.提前录入车牌号码，访客可自动获取车辆道闸权限进入校园停车。</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3.访客签到核验。</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4.访客签离后自动取消权限。</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5.针对未签离的访客，定时签离。</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ind w:right="84" w:rightChars="40"/>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班级安全</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可查看班主任所带班级教室的实时监控。</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1.对接视频监控系统。</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2.分配角色后，班主任或学校领导可在移动端查看某班主任所带班级教室的实时监控画面，查看学生上课情况。</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3.可查看所在班级视频监控回放。</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4.若教室摄像机自带扬声器，还可实现对班级进行远程喊话功能。</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319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学生在校情况</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1.对接电子班牌系统数据，可实现在平台端展现学生在校情况。</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2.学生上课前进行签到后，班主任及各科老师可通过移动端或者web端，查看当前班级的学生出勤情况及出勤率。</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3.可查看当前班级课表。</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喊家长</w:t>
            </w:r>
          </w:p>
        </w:tc>
        <w:tc>
          <w:tcPr>
            <w:tcW w:w="6939" w:type="dxa"/>
            <w:tcBorders>
              <w:tl2br w:val="nil"/>
              <w:tr2bl w:val="nil"/>
            </w:tcBorders>
            <w:vAlign w:val="center"/>
          </w:tcPr>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1.教师可通过web端或者移动端选择要邀请的学生家长、邀请时间后，即可发出邀约。2.支持一键喊全部家长或者批量选择喊部分家长操作。</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3.邀请发出后，发送消息推送给使用移动端的家长。</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4.对接校园短信平台，将邀请家长的短信发送至家长手机并生成来访二维码。</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kern w:val="0"/>
                <w:sz w:val="18"/>
                <w:szCs w:val="18"/>
                <w:lang w:bidi="ar"/>
              </w:rPr>
              <w:t>5.家长凭借来访二维码可进入校园。</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班牌公告</w:t>
            </w:r>
          </w:p>
        </w:tc>
        <w:tc>
          <w:tcPr>
            <w:tcW w:w="6939" w:type="dxa"/>
            <w:tcBorders>
              <w:tl2br w:val="nil"/>
              <w:tr2bl w:val="nil"/>
            </w:tcBorders>
            <w:vAlign w:val="center"/>
          </w:tcPr>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1.对接电子班牌系统，可在电子班牌上实现班级公告发布功能。</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2.调取电子班牌发布信息，获取当前班牌的发布内容展示在可视化大屏上。</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3.展示电子班牌的设备列表，包含设备名称、位置，在三维可视化界中呈现。</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4.点击班牌设备，定位到三维场景中，可查看班级课表，班牌发布内容。</w:t>
            </w:r>
          </w:p>
          <w:p>
            <w:pPr>
              <w:widowControl/>
              <w:jc w:val="left"/>
              <w:textAlignment w:val="center"/>
              <w:rPr>
                <w:rFonts w:ascii="宋体" w:hAnsi="宋体" w:eastAsia="宋体" w:cs="宋体"/>
                <w:color w:val="000000"/>
                <w:sz w:val="18"/>
                <w:szCs w:val="18"/>
              </w:rPr>
            </w:pPr>
            <w:r>
              <w:rPr>
                <w:rFonts w:hint="eastAsia" w:ascii="宋体" w:hAnsi="宋体" w:eastAsia="宋体" w:cs="宋体"/>
                <w:kern w:val="0"/>
                <w:sz w:val="18"/>
                <w:szCs w:val="18"/>
                <w:lang w:bidi="ar"/>
              </w:rPr>
              <w:t>5.联动班牌所在班级监控，查看班牌的同时也可以查看班级上课情况。</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322</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视频巡视</w:t>
            </w:r>
          </w:p>
        </w:tc>
        <w:tc>
          <w:tcPr>
            <w:tcW w:w="6939" w:type="dxa"/>
            <w:tcBorders>
              <w:tl2br w:val="nil"/>
              <w:tr2bl w:val="nil"/>
            </w:tcBorders>
            <w:vAlign w:val="center"/>
          </w:tcPr>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1.在视频巡视的管理后台，维护班主任、教室和视频监控的绑定关系，支持增删改操作。</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2.根据绑定关系，设定相关用户查看监控的权限。</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kern w:val="0"/>
                <w:sz w:val="18"/>
                <w:szCs w:val="18"/>
                <w:lang w:bidi="ar"/>
              </w:rPr>
              <w:t>3.关系绑定后，拥有权限的班主任及教师可以通过web端、移动版进行视频巡视。</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323</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学生管理</w:t>
            </w:r>
          </w:p>
        </w:tc>
        <w:tc>
          <w:tcPr>
            <w:tcW w:w="6939" w:type="dxa"/>
            <w:tcBorders>
              <w:tl2br w:val="nil"/>
              <w:tr2bl w:val="nil"/>
            </w:tcBorders>
            <w:vAlign w:val="center"/>
          </w:tcPr>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1.在管理后台，支持创建校区、班级、批量导入教师、学生基本信息。</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2.创建中间库，支持一卡通、监控系统将系统收集的人脸照片进行更新。</w:t>
            </w:r>
          </w:p>
          <w:p>
            <w:pPr>
              <w:widowControl/>
              <w:jc w:val="left"/>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3.教师可以给不同角色的老师建立不同的权限，不同角色的老师可查看不同的子系统。</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kern w:val="0"/>
                <w:sz w:val="18"/>
                <w:szCs w:val="18"/>
                <w:lang w:bidi="ar"/>
              </w:rPr>
              <w:t>4.支持批量导出学生数据及教师数据。</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324</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安防监控平台提升</w:t>
            </w:r>
          </w:p>
        </w:tc>
        <w:tc>
          <w:tcPr>
            <w:tcW w:w="693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1.平台包含预警统计数据展示功能，包括但不限于预警总数、今日新增预警数、已处理和未处理的预警数，以及各数据占比情况。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2.支持预警事件分类：包括但不限于疑似独行人、异常出现、越界事件、失联人，支持展示各类事件的占比统计情况。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3.支持展示预警趋势折线图，支持展示日、周、月、年多维度的预警事件趋势分析。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4.支持查看事件列表，列表字段包括事件名称、设备名称、地点、预警时间、已发生时间或处置用时。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5.支持按照事件处置状态（未处理、已处理、上报）、事件等级（高、中、低）、发生时间、时间类型筛选事件信息。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6.支持在地图上展示事件，当有事件发生时，事件所属的区域关联的热区会显示红色闪烁告警提醒。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7.支持事件快速处置和上报，告警发生时支持联动弹窗，弹窗内容包括流程处理记录和处理时长。可以快速进行事件处理，包括正报、误报。支持是否上报，上报的告警会在告警信息中显示“上报”标签。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8.支持查看事件详情，点击处置按钮，可以展示事件详情。事件详情包括事件等级、事件名称、最后抓拍区域、最后抓拍点名称、最后抓拍时间、事件图片、录像回放、实时预览。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9.事件接收配置：支持管理需要接收的事件类型。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10.支持事件类型分类管理，支持添加事件类型，支持事件类型批量导入，支持事件类型编辑能力是否开启设置，支持事件接收控制能力是否开启设置，支持事件上报去重能力是否开启设置。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11.事件处理流程配置：配置事件应用流程模板，以便在用户侧配置处理流程时进行关联。</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支持事件处理流程搜索；支持事件处理流程编辑、复制、删除；支持为处理流程配置流程模板；支持为处理流程配置关联生效条件；支持为不同流程节点配置处理人；支持配置超时自动转发；支持配置工单、预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13.支持合并上报配置；支持提醒方式配置，包括提示音、全局浮窗；支持事件等级配置；支持数据字典配置。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14.支持多种方式查询学生信息：包括上传照片、姓名、证件编号、所属组织、检索时间、检索区域等。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15.人脸搜索支持设置相似度阈值。</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16.检索结果支持按照相似度倒叙展示搜索结果人员列表。列表字段包括姓名、所属组织、学号、手机号、证件号码等，其中手机号和证件号码支持脱敏展示。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17.支持时间轴列表展示，可以显示抓拍照片、抓拍时间、抓拍地点等。点击某个时间轴照片，可以展示抓拍事件详情，包括抓拍图片、人员信息和事件信息。支持下载图片、图像搜索、回放。</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18.支持标记失联人事件，标记为失联人事件后，系统自动记录并生成一个失联人事件，可以在失联人列表中查看标记的失联人记录。</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19.支持路线的回放，支持倍速播放路线。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20.支持显示最近三个点位的路线，方便快速查找和定位到学生位置信息。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21.平台支持安全态势功能；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22.区域风险等级统计，区域评分排名,风险平均分趋势；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23.点击地图上区域显示风险详情，预计记录，可查看现场视频；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24.支持查看失联人列表，字段包括姓名、学号、证件号、所属组织、查询时间、最后抓拍区域、最后抓拍点、最后抓拍时间；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25.支持自定义设置独行人研判规则，支持设置研判人员范围（按照组织、角色、职务、团队、人员来选择选择）、不参与研判的人员，配置的研判人员范围支持回显和按照名称搜索；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26.支持自定义设置异常出现的研判规则，支持设置研判人员范围（按照组织、角色、职务、团队、人员来选择选择）、不参与研判的人员，配置的研判人员范围支持回显和按照名称搜索；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27.需要与蚌埠三中淮上校区一期视频监控系统已建设的安防监控平台无缝对接。</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1项</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软件与信息技术服务业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10731" w:type="dxa"/>
            <w:gridSpan w:val="6"/>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9、服务器及其他设备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325</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应用服务器</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1.规格：2U机架服务器，标配导轨。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2.★CPU：配置≥2颗，单颗核心数≥24核，主频≥2.0GHz。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3.★内存：配置≥128G DDR4，内存插槽数≥4个。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4.★系统硬盘：配置≥2块，≥960GB SSD固态硬盘。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5.★数据盘：配置≥2块，≥4.8T SAS HDD。</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6.网卡：配置≥2个千兆网口。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7.电源：配置≥550W双电源，配套电源连接线。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8.含配套操作系统。</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w:t>
            </w:r>
            <w:r>
              <w:rPr>
                <w:rStyle w:val="81"/>
                <w:rFonts w:hint="default"/>
                <w:color w:val="000000"/>
                <w:lang w:bidi="ar"/>
              </w:rPr>
              <w:t>★</w:t>
            </w:r>
            <w:r>
              <w:rPr>
                <w:rFonts w:hint="eastAsia" w:ascii="宋体" w:hAnsi="宋体" w:eastAsia="宋体" w:cs="宋体"/>
                <w:color w:val="000000"/>
                <w:kern w:val="0"/>
                <w:sz w:val="18"/>
                <w:szCs w:val="18"/>
                <w:lang w:bidi="ar"/>
              </w:rPr>
              <w:t>其他未列明参数按照《</w:t>
            </w:r>
            <w:bookmarkStart w:id="10" w:name="OLE_LINK7"/>
            <w:r>
              <w:rPr>
                <w:rFonts w:hint="eastAsia" w:ascii="宋体" w:hAnsi="宋体" w:eastAsia="宋体" w:cs="宋体"/>
                <w:color w:val="000000"/>
                <w:kern w:val="0"/>
                <w:sz w:val="18"/>
                <w:szCs w:val="18"/>
                <w:lang w:bidi="ar"/>
              </w:rPr>
              <w:t>通用服务器政府采购需求标准</w:t>
            </w:r>
            <w:bookmarkEnd w:id="10"/>
            <w:r>
              <w:rPr>
                <w:rFonts w:hint="eastAsia" w:ascii="宋体" w:hAnsi="宋体" w:eastAsia="宋体" w:cs="宋体"/>
                <w:color w:val="000000"/>
                <w:kern w:val="0"/>
                <w:sz w:val="18"/>
                <w:szCs w:val="18"/>
                <w:lang w:bidi="ar"/>
              </w:rPr>
              <w:t>(2023年版)》要求执行。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326</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数据库服务器</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1.规格：2U机架服务器，标配导轨。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2.★CPU：配置≥2颗，单颗核心数≥24核，主频≥2.0GHz。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3.★内存：配置≥256G DDR4，内存插槽数≥4个。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4.★系统硬盘：配置≥2块，960GB SSD固态硬盘。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5.★数据盘：配置≥2块，≥4.8T SAS HDD。</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6.网卡：配置≥2个千兆网口。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7.电源：配置≥550W双电源，配套电源连接线。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8.含配套系统软件。</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w:t>
            </w:r>
            <w:r>
              <w:rPr>
                <w:rStyle w:val="81"/>
                <w:rFonts w:hint="default"/>
                <w:color w:val="000000"/>
                <w:lang w:bidi="ar"/>
              </w:rPr>
              <w:t>★</w:t>
            </w:r>
            <w:r>
              <w:rPr>
                <w:rFonts w:hint="eastAsia" w:ascii="宋体" w:hAnsi="宋体" w:eastAsia="宋体" w:cs="宋体"/>
                <w:color w:val="000000"/>
                <w:kern w:val="0"/>
                <w:sz w:val="18"/>
                <w:szCs w:val="18"/>
                <w:lang w:bidi="ar"/>
              </w:rPr>
              <w:t>其他未列明参数按照《通用服务器政府采购需求标准(2023年版)》要求执行。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327</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可视化工作站</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1.★CPU：≥6核12线程，主频≥3.0GHz。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2.★内存：≥16GB DDR4；</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3.★硬盘：≥512GB SSD固态硬盘；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4.★显卡：≥8GB GDDR6显存，显存速率≥17Gbps；</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5.声卡：高清音频声卡及以上配置；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6.网卡：千兆网卡及以上配置；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7.键鼠：鼠标键盘≥1套。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8.接口：USB接口≥6个，音频接口：支持3.5mm耳机接口；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9.显示器：尺寸≥32英寸，支持32：9显示。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10.机箱：采用塔式标准机箱；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11.含操作系统。</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w:t>
            </w:r>
            <w:r>
              <w:rPr>
                <w:rStyle w:val="81"/>
                <w:rFonts w:hint="default"/>
                <w:color w:val="000000"/>
                <w:lang w:bidi="ar"/>
              </w:rPr>
              <w:t>★</w:t>
            </w:r>
            <w:r>
              <w:rPr>
                <w:rFonts w:hint="eastAsia" w:ascii="宋体" w:hAnsi="宋体" w:eastAsia="宋体" w:cs="宋体"/>
                <w:color w:val="000000"/>
                <w:kern w:val="0"/>
                <w:sz w:val="18"/>
                <w:szCs w:val="18"/>
                <w:lang w:bidi="ar"/>
              </w:rPr>
              <w:t>其他未列明参数按照《工作站政府采购需求标准（2023年版）》要求执行。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328</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渲染服务器</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1.规格：2U机架服务器，标配导轨。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2.★CPU：配置≥2颗，单颗核心数≥10核，主频≥2.0GHz。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3.★内存：配置≥64G DDR4，内存插槽数≥4个。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4.数据盘：配置2块，≥2T SAS HDD。</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5.★独立显卡：≥24G显存*2 GDDR6。</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6.网卡：配置≥2个千兆网口。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7.电源：配置≥550W双电源，配套电源连接线。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8.含配套系统软件，</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w:t>
            </w:r>
            <w:r>
              <w:rPr>
                <w:rStyle w:val="81"/>
                <w:rFonts w:hint="default"/>
                <w:color w:val="000000"/>
                <w:lang w:bidi="ar"/>
              </w:rPr>
              <w:t>★</w:t>
            </w:r>
            <w:r>
              <w:rPr>
                <w:rFonts w:hint="eastAsia" w:ascii="宋体" w:hAnsi="宋体" w:eastAsia="宋体" w:cs="宋体"/>
                <w:color w:val="000000"/>
                <w:kern w:val="0"/>
                <w:sz w:val="18"/>
                <w:szCs w:val="18"/>
                <w:lang w:bidi="ar"/>
              </w:rPr>
              <w:t>其他未列明参数按照《通用服务器政府采购需求标准(2023年版)》要求执行。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329</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管理服务器</w:t>
            </w:r>
          </w:p>
        </w:tc>
        <w:tc>
          <w:tcPr>
            <w:tcW w:w="6939" w:type="dxa"/>
            <w:tcBorders>
              <w:tl2br w:val="nil"/>
              <w:tr2bl w:val="nil"/>
            </w:tcBorders>
            <w:vAlign w:val="center"/>
          </w:tcPr>
          <w:p>
            <w:pPr>
              <w:widowControl/>
              <w:numPr>
                <w:ilvl w:val="0"/>
                <w:numId w:val="8"/>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规格：≥1U机架服务器，标配导轨。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2.★CPU：配置≥4核处理器，主频≥2.0GHz。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3.★内存：配置≥32G DDR4，内存插槽数≥4个。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4.★系统盘：≥240GB SATA SSD。</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5.★系统硬盘：配置≥1块，1T SAS HDD。</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6.网卡：配置≥2个千兆网口。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7.电源：配置≥550W双电源，配套电源连接线。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8.含配套操作系统。</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w:t>
            </w:r>
            <w:r>
              <w:rPr>
                <w:rStyle w:val="81"/>
                <w:rFonts w:hint="default"/>
                <w:color w:val="000000"/>
                <w:lang w:bidi="ar"/>
              </w:rPr>
              <w:t>★</w:t>
            </w:r>
            <w:r>
              <w:rPr>
                <w:rFonts w:hint="eastAsia" w:ascii="宋体" w:hAnsi="宋体" w:eastAsia="宋体" w:cs="宋体"/>
                <w:color w:val="000000"/>
                <w:kern w:val="0"/>
                <w:sz w:val="18"/>
                <w:szCs w:val="18"/>
                <w:lang w:bidi="ar"/>
              </w:rPr>
              <w:t>其他未列明参数需按照《通用服务器政府采购需求标准(2023年版)》执行。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330</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管理终端</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1.★CPU：≥6核12线程处理器或以上，主频≥3.0Ghz。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2.★内存：≥16GB DDR4-3200，最大支持64GB或以上。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3.★硬盘：≥256 M.2固态硬盘。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4.声卡：高清音频声卡。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5.网卡：千兆网卡。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6.显卡：集成显卡显卡。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7.输入设备：USB接口抗菌键盘鼠标。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8.显示器：尺寸≥23.8"显示器，分辨率≥1920*1080。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9.含操作系统。</w:t>
            </w:r>
          </w:p>
          <w:p>
            <w:pPr>
              <w:widowControl/>
              <w:jc w:val="left"/>
              <w:textAlignment w:val="center"/>
              <w:rPr>
                <w:rFonts w:ascii="宋体" w:hAnsi="宋体" w:eastAsia="宋体" w:cs="宋体"/>
                <w:color w:val="000000"/>
                <w:kern w:val="0"/>
                <w:sz w:val="18"/>
                <w:szCs w:val="18"/>
                <w:lang w:bidi="ar"/>
              </w:rPr>
            </w:pPr>
            <w:r>
              <w:rPr>
                <w:rStyle w:val="81"/>
                <w:color w:val="000000"/>
                <w:lang w:bidi="ar"/>
              </w:rPr>
              <w:t>10.</w:t>
            </w:r>
            <w:r>
              <w:rPr>
                <w:rStyle w:val="81"/>
                <w:rFonts w:hint="default"/>
                <w:color w:val="000000"/>
                <w:lang w:bidi="ar"/>
              </w:rPr>
              <w:t>★</w:t>
            </w:r>
            <w:r>
              <w:rPr>
                <w:rFonts w:hint="eastAsia" w:ascii="宋体" w:hAnsi="宋体" w:eastAsia="宋体" w:cs="宋体"/>
                <w:color w:val="000000"/>
                <w:kern w:val="0"/>
                <w:sz w:val="18"/>
                <w:szCs w:val="18"/>
                <w:lang w:bidi="ar"/>
              </w:rPr>
              <w:t>其他未列明参数按照《台式计算机政府采购需求标准(2023年版)》要求执行。</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bookmarkStart w:id="11" w:name="OLE_LINK2"/>
            <w:r>
              <w:rPr>
                <w:rFonts w:hint="eastAsia" w:ascii="宋体" w:hAnsi="宋体" w:eastAsia="宋体" w:cs="宋体"/>
                <w:color w:val="000000"/>
                <w:kern w:val="0"/>
                <w:sz w:val="18"/>
                <w:szCs w:val="18"/>
                <w:lang w:bidi="ar"/>
              </w:rPr>
              <w:t>工业</w:t>
            </w:r>
            <w:bookmarkEnd w:id="11"/>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331</w:t>
            </w:r>
          </w:p>
        </w:tc>
        <w:tc>
          <w:tcPr>
            <w:tcW w:w="1107"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访客一体机</w:t>
            </w:r>
          </w:p>
        </w:tc>
        <w:tc>
          <w:tcPr>
            <w:tcW w:w="6939" w:type="dxa"/>
            <w:tcBorders>
              <w:tl2br w:val="nil"/>
              <w:tr2bl w:val="nil"/>
            </w:tcBorders>
            <w:vAlign w:val="center"/>
          </w:tcPr>
          <w:p>
            <w:pPr>
              <w:widowControl/>
              <w:jc w:val="left"/>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1.</w:t>
            </w:r>
            <w:r>
              <w:rPr>
                <w:rFonts w:hint="eastAsia" w:ascii="宋体" w:hAnsi="宋体" w:eastAsia="宋体" w:cs="宋体"/>
                <w:color w:val="000000"/>
                <w:kern w:val="0"/>
                <w:sz w:val="18"/>
                <w:szCs w:val="18"/>
                <w:lang w:bidi="ar"/>
              </w:rPr>
              <w:t>访客人员可现场进行预约访问。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2.预约/邀约人员可进行自助登记。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3.支持访客签到、签离，批量签离等操作。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4.支持系统设置，可设置基本参数、业务规则等。</w:t>
            </w:r>
          </w:p>
          <w:p>
            <w:pPr>
              <w:widowControl/>
              <w:jc w:val="left"/>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5.高清双屏显示，</w:t>
            </w:r>
            <w:r>
              <w:rPr>
                <w:rFonts w:hint="eastAsia" w:ascii="宋体" w:hAnsi="宋体" w:eastAsia="宋体" w:cs="宋体"/>
                <w:color w:val="000000"/>
                <w:kern w:val="0"/>
                <w:sz w:val="18"/>
                <w:szCs w:val="18"/>
                <w:lang w:bidi="ar"/>
              </w:rPr>
              <w:t>≥</w:t>
            </w:r>
            <w:r>
              <w:rPr>
                <w:rFonts w:ascii="宋体" w:hAnsi="宋体" w:eastAsia="宋体" w:cs="宋体"/>
                <w:color w:val="000000"/>
                <w:kern w:val="0"/>
                <w:sz w:val="18"/>
                <w:szCs w:val="18"/>
                <w:lang w:bidi="ar"/>
              </w:rPr>
              <w:t>15.6寸双屏可操作电容显示屏，屏体分辨率 1920×1080</w:t>
            </w:r>
            <w:r>
              <w:rPr>
                <w:rFonts w:hint="eastAsia" w:ascii="宋体" w:hAnsi="宋体" w:eastAsia="宋体" w:cs="宋体"/>
                <w:color w:val="000000"/>
                <w:kern w:val="0"/>
                <w:sz w:val="18"/>
                <w:szCs w:val="18"/>
                <w:lang w:bidi="ar"/>
              </w:rPr>
              <w:t>。</w:t>
            </w:r>
          </w:p>
          <w:p>
            <w:pPr>
              <w:widowControl/>
              <w:jc w:val="left"/>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6.设备采用Android11及以上操作系统；</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7.</w:t>
            </w:r>
            <w:r>
              <w:rPr>
                <w:rFonts w:ascii="宋体" w:hAnsi="宋体" w:eastAsia="宋体" w:cs="宋体"/>
                <w:color w:val="000000"/>
                <w:kern w:val="0"/>
                <w:sz w:val="18"/>
                <w:szCs w:val="18"/>
                <w:lang w:bidi="ar"/>
              </w:rPr>
              <w:t>存储</w:t>
            </w:r>
            <w:r>
              <w:rPr>
                <w:rFonts w:hint="eastAsia" w:ascii="宋体" w:hAnsi="宋体" w:eastAsia="宋体" w:cs="宋体"/>
                <w:color w:val="000000"/>
                <w:kern w:val="0"/>
                <w:sz w:val="18"/>
                <w:szCs w:val="18"/>
                <w:lang w:bidi="ar"/>
              </w:rPr>
              <w:t>≥</w:t>
            </w:r>
            <w:r>
              <w:rPr>
                <w:rFonts w:ascii="宋体" w:hAnsi="宋体" w:eastAsia="宋体" w:cs="宋体"/>
                <w:color w:val="000000"/>
                <w:kern w:val="0"/>
                <w:sz w:val="18"/>
                <w:szCs w:val="18"/>
                <w:lang w:bidi="ar"/>
              </w:rPr>
              <w:t xml:space="preserve">32G固态硬盘、DDR3 </w:t>
            </w:r>
            <w:r>
              <w:rPr>
                <w:rFonts w:hint="eastAsia" w:ascii="宋体" w:hAnsi="宋体" w:eastAsia="宋体" w:cs="宋体"/>
                <w:color w:val="000000"/>
                <w:kern w:val="0"/>
                <w:sz w:val="18"/>
                <w:szCs w:val="18"/>
                <w:lang w:bidi="ar"/>
              </w:rPr>
              <w:t>≥</w:t>
            </w:r>
            <w:r>
              <w:rPr>
                <w:rFonts w:ascii="宋体" w:hAnsi="宋体" w:eastAsia="宋体" w:cs="宋体"/>
                <w:color w:val="000000"/>
                <w:kern w:val="0"/>
                <w:sz w:val="18"/>
                <w:szCs w:val="18"/>
                <w:lang w:bidi="ar"/>
              </w:rPr>
              <w:t>4GB内存；</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r>
              <w:rPr>
                <w:rFonts w:ascii="宋体" w:hAnsi="宋体" w:eastAsia="宋体" w:cs="宋体"/>
                <w:color w:val="000000"/>
                <w:kern w:val="0"/>
                <w:sz w:val="18"/>
                <w:szCs w:val="18"/>
                <w:lang w:bidi="ar"/>
              </w:rPr>
              <w:t>内置</w:t>
            </w:r>
            <w:r>
              <w:rPr>
                <w:rFonts w:hint="eastAsia" w:ascii="宋体" w:hAnsi="宋体" w:eastAsia="宋体" w:cs="宋体"/>
                <w:color w:val="000000"/>
                <w:kern w:val="0"/>
                <w:sz w:val="18"/>
                <w:szCs w:val="18"/>
                <w:lang w:bidi="ar"/>
              </w:rPr>
              <w:t>≥</w:t>
            </w:r>
            <w:r>
              <w:rPr>
                <w:rFonts w:ascii="宋体" w:hAnsi="宋体" w:eastAsia="宋体" w:cs="宋体"/>
                <w:color w:val="000000"/>
                <w:kern w:val="0"/>
                <w:sz w:val="18"/>
                <w:szCs w:val="18"/>
                <w:lang w:bidi="ar"/>
              </w:rPr>
              <w:t>200万高清摄像头（自然成像，镜像无偏差）</w:t>
            </w:r>
            <w:r>
              <w:rPr>
                <w:rFonts w:hint="eastAsia" w:ascii="宋体" w:hAnsi="宋体" w:eastAsia="宋体" w:cs="宋体"/>
                <w:color w:val="000000"/>
                <w:kern w:val="0"/>
                <w:sz w:val="18"/>
                <w:szCs w:val="18"/>
                <w:lang w:bidi="ar"/>
              </w:rPr>
              <w:t>人证摄像头</w:t>
            </w:r>
            <w:r>
              <w:rPr>
                <w:rFonts w:ascii="宋体" w:hAnsi="宋体" w:eastAsia="宋体" w:cs="宋体"/>
                <w:color w:val="000000"/>
                <w:kern w:val="0"/>
                <w:sz w:val="18"/>
                <w:szCs w:val="18"/>
                <w:lang w:bidi="ar"/>
              </w:rPr>
              <w:t>，自带身份证阅读器，支持1：1人证比对成功后自动填入访客信息</w:t>
            </w:r>
            <w:r>
              <w:rPr>
                <w:rFonts w:hint="eastAsia" w:ascii="宋体" w:hAnsi="宋体" w:eastAsia="宋体" w:cs="宋体"/>
                <w:color w:val="000000"/>
                <w:kern w:val="0"/>
                <w:sz w:val="18"/>
                <w:szCs w:val="18"/>
                <w:lang w:bidi="ar"/>
              </w:rPr>
              <w:t>。</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w:t>
            </w:r>
            <w:r>
              <w:rPr>
                <w:rFonts w:ascii="宋体" w:hAnsi="宋体" w:eastAsia="宋体" w:cs="宋体"/>
                <w:color w:val="000000"/>
                <w:kern w:val="0"/>
                <w:sz w:val="18"/>
                <w:szCs w:val="18"/>
                <w:lang w:bidi="ar"/>
              </w:rPr>
              <w:t>支持开启蓝牙功能外接设备</w:t>
            </w:r>
            <w:r>
              <w:rPr>
                <w:rFonts w:hint="eastAsia" w:ascii="宋体" w:hAnsi="宋体" w:eastAsia="宋体" w:cs="宋体"/>
                <w:color w:val="000000"/>
                <w:kern w:val="0"/>
                <w:sz w:val="18"/>
                <w:szCs w:val="18"/>
                <w:lang w:bidi="ar"/>
              </w:rPr>
              <w:t>。</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w:t>
            </w:r>
            <w:r>
              <w:rPr>
                <w:rFonts w:ascii="宋体" w:hAnsi="宋体" w:eastAsia="宋体" w:cs="宋体"/>
                <w:color w:val="000000"/>
                <w:kern w:val="0"/>
                <w:sz w:val="18"/>
                <w:szCs w:val="18"/>
                <w:lang w:bidi="ar"/>
              </w:rPr>
              <w:t>内置二维码扫描仪，可识别任意界面二维码，识别度达99.9%</w:t>
            </w:r>
            <w:r>
              <w:rPr>
                <w:rFonts w:hint="eastAsia" w:ascii="宋体" w:hAnsi="宋体" w:eastAsia="宋体" w:cs="宋体"/>
                <w:color w:val="000000"/>
                <w:kern w:val="0"/>
                <w:sz w:val="18"/>
                <w:szCs w:val="18"/>
                <w:lang w:bidi="ar"/>
              </w:rPr>
              <w:t>。</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11.≥2个</w:t>
            </w:r>
            <w:r>
              <w:rPr>
                <w:rFonts w:ascii="宋体" w:hAnsi="宋体" w:eastAsia="宋体" w:cs="宋体"/>
                <w:color w:val="000000"/>
                <w:kern w:val="0"/>
                <w:sz w:val="18"/>
                <w:szCs w:val="18"/>
                <w:lang w:bidi="ar"/>
              </w:rPr>
              <w:t>网口设计，支持TCP/IP有线网络通讯及无线WIFI网络连接</w:t>
            </w:r>
            <w:r>
              <w:rPr>
                <w:rFonts w:hint="eastAsia" w:ascii="宋体" w:hAnsi="宋体" w:eastAsia="宋体" w:cs="宋体"/>
                <w:color w:val="000000"/>
                <w:kern w:val="0"/>
                <w:sz w:val="18"/>
                <w:szCs w:val="18"/>
                <w:lang w:bidi="ar"/>
              </w:rPr>
              <w:t>。</w:t>
            </w:r>
          </w:p>
        </w:tc>
        <w:tc>
          <w:tcPr>
            <w:tcW w:w="974"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1台</w:t>
            </w:r>
          </w:p>
        </w:tc>
        <w:tc>
          <w:tcPr>
            <w:tcW w:w="1099" w:type="dxa"/>
            <w:tcBorders>
              <w:tl2br w:val="nil"/>
              <w:tr2bl w:val="nil"/>
            </w:tcBorders>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10731" w:type="dxa"/>
            <w:gridSpan w:val="6"/>
            <w:tcBorders>
              <w:tl2br w:val="nil"/>
              <w:tr2bl w:val="nil"/>
            </w:tcBorders>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10、教学桌椅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332</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控制台桌椅</w:t>
            </w:r>
          </w:p>
        </w:tc>
        <w:tc>
          <w:tcPr>
            <w:tcW w:w="6939" w:type="dxa"/>
            <w:tcBorders>
              <w:tl2br w:val="nil"/>
              <w:tr2bl w:val="nil"/>
            </w:tcBorders>
            <w:shd w:val="clear" w:color="000000" w:fill="FFFFFF"/>
            <w:vAlign w:val="center"/>
          </w:tcPr>
          <w:p>
            <w:pPr>
              <w:widowControl/>
              <w:numPr>
                <w:ilvl w:val="0"/>
                <w:numId w:val="9"/>
              </w:numPr>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控制台桌：数量1台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1.尺寸≥1200*850*750mm，可供至少两个人操作。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2.材质：冷轧钢板与木质结合，嵌入式台面，四边为钢制，木板嵌入中间，木板厚度≥40mm，耐酸缄、防火、防潮、耐划伤、韧性好；冷轧钢板钢板厚度≥1mm，静电喷塑，亚光处理；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3.标准化机箱，配置托架、移门、安全锁。配置导轨抽拉式键盘抽屉，配置鼠标孔便于整理线材。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4.操作台可放置主机、功放等教学设备，散热好，稳固耐用。</w:t>
            </w:r>
          </w:p>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5.★木板材质须符合环保检测要求，具备环保检测报告。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二、控制台椅子：数量2把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1.椅面材质：采用PP聚丙烯，耐磨损、耐腐蚀。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2.椅子支持灵活升降，可调节高度。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3.椅子支撑管材质：采用不锈钢，牢固耐用。</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333</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教师桌（计算机教室）</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一、教师桌：数量1张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1.采用冷轧钢管及木质结构，钢制底架，颜色统一；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2.规格尺寸≥1600mm*800mm*730mm；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3.桌面整板：厚度≥2.5mm；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4.★桌面材质：实木颗粒贴面板，木板材质须符合环保检测要求，具备环保检测报告；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5.桌架材质：采用冷轧钢管材质，立柱≥40 mm*40 mm，横梁≥20mm*20mm，壁厚≥1.0mm，网片厚度≥0.5mm，牢固耐用。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6.焊接工艺，光滑无焊疤，无毛刺，防腐防锈，静电喷塑。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7.钢架架构：款式为右置机箱：后封板为全封闭网片。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二、教师椅：数量1把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1.椅面材质：采用PP聚丙烯，耐磨损、耐腐蚀。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2.椅子支持灵活升降，可调节高度。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3.椅子支撑管材质：采用不锈钢，牢固耐用。</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5" w:type="dxa"/>
          <w:trHeight w:val="567" w:hRule="atLeast"/>
        </w:trPr>
        <w:tc>
          <w:tcPr>
            <w:tcW w:w="577" w:type="dxa"/>
            <w:tcBorders>
              <w:tl2br w:val="nil"/>
              <w:tr2bl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334</w:t>
            </w:r>
          </w:p>
        </w:tc>
        <w:tc>
          <w:tcPr>
            <w:tcW w:w="1107"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学生电脑桌（计算机教室）</w:t>
            </w:r>
          </w:p>
        </w:tc>
        <w:tc>
          <w:tcPr>
            <w:tcW w:w="6939" w:type="dxa"/>
            <w:tcBorders>
              <w:tl2br w:val="nil"/>
              <w:tr2bl w:val="nil"/>
            </w:tcBorders>
            <w:shd w:val="clear" w:color="000000"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学生电脑桌：数量1张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1.采用钢制，环保静电喷塑，颜色统一。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2.桌架材料：采用冷轧钢管材质，主管≥50*20mm，壁厚≥1.0mm，桌架两侧带线槽，后置主机箱体，带门、锁，安装后无线外露。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3.焊接工艺，光滑无焊疤，无毛刺，防腐防锈，静电喷塑；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4.桌面材质：实木颗粒贴面板，桌面厚度≥25mm，围板厚度≥16mm，后置透明玻璃厚度≥5mm，板材四边采用PVC热熔胶封边处理。</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5.★木板材质须符合环保检测要求，具备环保检测报告。</w:t>
            </w:r>
          </w:p>
          <w:p>
            <w:pPr>
              <w:widowControl/>
              <w:jc w:val="left"/>
              <w:textAlignment w:val="center"/>
              <w:rPr>
                <w:rFonts w:ascii="宋体" w:hAnsi="宋体" w:eastAsia="宋体" w:cs="宋体"/>
                <w:color w:val="000000"/>
                <w:kern w:val="0"/>
                <w:sz w:val="18"/>
                <w:szCs w:val="18"/>
                <w:lang w:bidi="ar"/>
              </w:rPr>
            </w:pPr>
          </w:p>
          <w:p>
            <w:pPr>
              <w:widowControl/>
              <w:jc w:val="left"/>
              <w:textAlignment w:val="center"/>
              <w:rPr>
                <w:color w:val="000000"/>
                <w:sz w:val="18"/>
                <w:szCs w:val="18"/>
              </w:rPr>
            </w:pPr>
            <w:r>
              <w:rPr>
                <w:color w:val="000000"/>
                <w:sz w:val="18"/>
                <w:szCs w:val="18"/>
              </w:rPr>
              <w:drawing>
                <wp:inline distT="0" distB="0" distL="114300" distR="114300">
                  <wp:extent cx="2016760" cy="1706880"/>
                  <wp:effectExtent l="0" t="0" r="2540" b="7620"/>
                  <wp:docPr id="2" name="图片 1" descr="0a2f091394e31581560cefdb2d38c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a2f091394e31581560cefdb2d38c09"/>
                          <pic:cNvPicPr>
                            <a:picLocks noChangeAspect="1"/>
                          </pic:cNvPicPr>
                        </pic:nvPicPr>
                        <pic:blipFill>
                          <a:blip r:embed="rId4"/>
                          <a:stretch>
                            <a:fillRect/>
                          </a:stretch>
                        </pic:blipFill>
                        <pic:spPr>
                          <a:xfrm>
                            <a:off x="0" y="0"/>
                            <a:ext cx="2016760" cy="1706880"/>
                          </a:xfrm>
                          <a:prstGeom prst="rect">
                            <a:avLst/>
                          </a:prstGeom>
                          <a:noFill/>
                          <a:ln>
                            <a:noFill/>
                          </a:ln>
                        </pic:spPr>
                      </pic:pic>
                    </a:graphicData>
                  </a:graphic>
                </wp:inline>
              </w:drawing>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二、学生电脑凳：数量2把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1.材质：钢木结构,与电脑桌同材质，凳子尺寸≥330*240*440mm，桌面厚度≥25mm，牢固耐用。</w:t>
            </w:r>
          </w:p>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2.环保静电喷塑，与电脑桌颜色统一。</w:t>
            </w:r>
          </w:p>
          <w:p>
            <w:pPr>
              <w:widowControl/>
              <w:jc w:val="left"/>
              <w:textAlignment w:val="center"/>
              <w:rPr>
                <w:color w:val="000000"/>
                <w:sz w:val="18"/>
                <w:szCs w:val="18"/>
              </w:rPr>
            </w:pPr>
            <w:r>
              <w:rPr>
                <w:rFonts w:hint="eastAsia" w:ascii="宋体" w:hAnsi="宋体" w:eastAsia="宋体" w:cs="宋体"/>
                <w:color w:val="000000"/>
                <w:kern w:val="0"/>
                <w:sz w:val="18"/>
                <w:szCs w:val="18"/>
                <w:lang w:bidi="ar"/>
              </w:rPr>
              <w:t>3.焊接工艺，光滑无焊疤，无毛刺，防腐防锈，静电喷塑。</w:t>
            </w:r>
          </w:p>
        </w:tc>
        <w:tc>
          <w:tcPr>
            <w:tcW w:w="974"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90套</w:t>
            </w:r>
          </w:p>
        </w:tc>
        <w:tc>
          <w:tcPr>
            <w:tcW w:w="1099" w:type="dxa"/>
            <w:tcBorders>
              <w:tl2br w:val="nil"/>
              <w:tr2bl w:val="nil"/>
            </w:tcBorders>
            <w:shd w:val="clear" w:color="000000"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工业</w:t>
            </w:r>
          </w:p>
        </w:tc>
      </w:tr>
    </w:tbl>
    <w:p>
      <w:pPr>
        <w:pStyle w:val="2"/>
        <w:ind w:firstLine="480"/>
        <w:rPr>
          <w:rFonts w:ascii="宋体" w:hAnsi="宋体" w:eastAsia="宋体" w:cs="@仿宋_GB2312"/>
          <w:bCs/>
          <w:kern w:val="2"/>
          <w:sz w:val="24"/>
          <w:szCs w:val="18"/>
        </w:rPr>
      </w:pPr>
      <w:r>
        <w:rPr>
          <w:rFonts w:hint="eastAsia" w:ascii="宋体" w:hAnsi="宋体" w:eastAsia="宋体" w:cs="@仿宋_GB2312"/>
          <w:bCs/>
          <w:kern w:val="2"/>
          <w:sz w:val="24"/>
          <w:szCs w:val="18"/>
        </w:rPr>
        <w:t>备注：</w:t>
      </w:r>
    </w:p>
    <w:p>
      <w:pPr>
        <w:pStyle w:val="2"/>
        <w:ind w:firstLine="480"/>
        <w:rPr>
          <w:rFonts w:ascii="宋体" w:hAnsi="宋体" w:eastAsia="宋体" w:cs="@仿宋_GB2312"/>
          <w:bCs/>
          <w:kern w:val="2"/>
          <w:sz w:val="24"/>
          <w:szCs w:val="18"/>
        </w:rPr>
      </w:pPr>
      <w:r>
        <w:rPr>
          <w:rFonts w:hint="eastAsia" w:ascii="宋体" w:hAnsi="宋体" w:eastAsia="宋体" w:cs="@仿宋_GB2312"/>
          <w:bCs/>
          <w:kern w:val="2"/>
          <w:sz w:val="24"/>
          <w:szCs w:val="18"/>
        </w:rPr>
        <w:t>1、标有“★”的参数为关键性技术参数，必须无条件满足，如有要求提供证明材料的地方，需按要求提供，如有一项不能满足，视为未实质性响应采购需求;</w:t>
      </w:r>
    </w:p>
    <w:p>
      <w:pPr>
        <w:pStyle w:val="2"/>
        <w:ind w:firstLine="480"/>
        <w:rPr>
          <w:rFonts w:ascii="宋体" w:hAnsi="宋体" w:eastAsia="宋体" w:cs="@仿宋_GB2312"/>
          <w:bCs/>
          <w:kern w:val="2"/>
          <w:sz w:val="24"/>
          <w:szCs w:val="18"/>
        </w:rPr>
      </w:pPr>
      <w:r>
        <w:rPr>
          <w:rFonts w:hint="eastAsia" w:ascii="宋体" w:hAnsi="宋体" w:eastAsia="宋体" w:cs="@仿宋_GB2312"/>
          <w:bCs/>
          <w:kern w:val="2"/>
          <w:sz w:val="24"/>
          <w:szCs w:val="18"/>
        </w:rPr>
        <w:t>2、标有“▲”的参数为重要性技术参数，如有要求提供证明材料的地方，需按要求提供，根据评审细则对应加分。</w:t>
      </w:r>
    </w:p>
    <w:p>
      <w:pPr>
        <w:pStyle w:val="2"/>
        <w:ind w:firstLine="480"/>
        <w:rPr>
          <w:rFonts w:ascii="宋体" w:hAnsi="宋体" w:eastAsia="宋体" w:cs="@仿宋_GB2312"/>
          <w:bCs/>
          <w:kern w:val="2"/>
          <w:sz w:val="24"/>
          <w:szCs w:val="18"/>
        </w:rPr>
      </w:pPr>
      <w:r>
        <w:rPr>
          <w:rFonts w:hint="eastAsia" w:ascii="宋体" w:hAnsi="宋体" w:eastAsia="宋体" w:cs="@仿宋_GB2312"/>
          <w:bCs/>
          <w:kern w:val="2"/>
          <w:sz w:val="24"/>
          <w:szCs w:val="18"/>
        </w:rPr>
        <w:t>3、未标“★”“▲”的参数为非关键性和非重要性技术参数，如有</w:t>
      </w:r>
      <w:r>
        <w:rPr>
          <w:rFonts w:hint="eastAsia" w:ascii="宋体" w:hAnsi="宋体" w:eastAsia="宋体" w:cs="@仿宋_GB2312"/>
          <w:bCs/>
          <w:kern w:val="2"/>
          <w:sz w:val="24"/>
          <w:szCs w:val="18"/>
          <w:u w:val="single"/>
        </w:rPr>
        <w:t>五项</w:t>
      </w:r>
      <w:r>
        <w:rPr>
          <w:rFonts w:hint="eastAsia" w:ascii="宋体" w:hAnsi="宋体" w:eastAsia="宋体" w:cs="@仿宋_GB2312"/>
          <w:bCs/>
          <w:kern w:val="2"/>
          <w:sz w:val="24"/>
          <w:szCs w:val="18"/>
        </w:rPr>
        <w:t>或</w:t>
      </w:r>
      <w:r>
        <w:rPr>
          <w:rFonts w:hint="eastAsia" w:ascii="宋体" w:hAnsi="宋体" w:eastAsia="宋体" w:cs="@仿宋_GB2312"/>
          <w:bCs/>
          <w:kern w:val="2"/>
          <w:sz w:val="24"/>
          <w:szCs w:val="18"/>
          <w:u w:val="single"/>
        </w:rPr>
        <w:t>五项以上</w:t>
      </w:r>
      <w:r>
        <w:rPr>
          <w:rFonts w:hint="eastAsia" w:ascii="宋体" w:hAnsi="宋体" w:eastAsia="宋体" w:cs="@仿宋_GB2312"/>
          <w:bCs/>
          <w:kern w:val="2"/>
          <w:sz w:val="24"/>
          <w:szCs w:val="18"/>
        </w:rPr>
        <w:t>不满足，视为未实质性响应采购需求。</w:t>
      </w:r>
    </w:p>
    <w:p>
      <w:pPr>
        <w:pStyle w:val="2"/>
        <w:ind w:firstLine="0" w:firstLineChars="0"/>
      </w:pPr>
    </w:p>
    <w:p>
      <w:pPr>
        <w:spacing w:line="360" w:lineRule="auto"/>
        <w:ind w:firstLine="437"/>
        <w:outlineLvl w:val="1"/>
        <w:rPr>
          <w:rFonts w:ascii="宋体" w:hAnsi="宋体" w:eastAsia="宋体"/>
          <w:b/>
          <w:bCs/>
          <w:sz w:val="24"/>
          <w:szCs w:val="18"/>
        </w:rPr>
      </w:pPr>
      <w:bookmarkStart w:id="12" w:name="_Toc4843"/>
      <w:bookmarkStart w:id="13" w:name="_Toc7006"/>
      <w:bookmarkStart w:id="14" w:name="_Toc7421"/>
      <w:r>
        <w:rPr>
          <w:rFonts w:hint="eastAsia" w:ascii="宋体" w:hAnsi="宋体" w:eastAsia="宋体"/>
          <w:b/>
          <w:bCs/>
          <w:sz w:val="24"/>
          <w:szCs w:val="18"/>
        </w:rPr>
        <w:t>三、报价要求</w:t>
      </w:r>
      <w:bookmarkEnd w:id="12"/>
      <w:bookmarkEnd w:id="13"/>
      <w:bookmarkEnd w:id="14"/>
    </w:p>
    <w:p>
      <w:pPr>
        <w:spacing w:line="360" w:lineRule="auto"/>
        <w:ind w:firstLine="437"/>
        <w:rPr>
          <w:rFonts w:ascii="宋体" w:hAnsi="宋体" w:eastAsia="宋体"/>
          <w:bCs/>
          <w:color w:val="000000"/>
          <w:sz w:val="24"/>
          <w:szCs w:val="18"/>
        </w:rPr>
      </w:pPr>
      <w:permStart w:id="3" w:edGrp="everyone"/>
      <w:r>
        <w:rPr>
          <w:rFonts w:hint="eastAsia" w:ascii="宋体" w:hAnsi="宋体" w:eastAsia="宋体"/>
          <w:bCs/>
          <w:color w:val="000000"/>
          <w:sz w:val="24"/>
          <w:szCs w:val="18"/>
        </w:rPr>
        <w:t>1.本项目总价包干，包括了履行合同所有内容的全部费用：</w:t>
      </w:r>
    </w:p>
    <w:p>
      <w:pPr>
        <w:spacing w:line="360" w:lineRule="auto"/>
        <w:ind w:firstLine="437"/>
        <w:rPr>
          <w:rFonts w:ascii="宋体" w:hAnsi="宋体" w:eastAsia="宋体"/>
          <w:bCs/>
          <w:color w:val="000000"/>
          <w:sz w:val="24"/>
          <w:szCs w:val="18"/>
        </w:rPr>
      </w:pPr>
      <w:r>
        <w:rPr>
          <w:rFonts w:hint="eastAsia" w:ascii="宋体" w:hAnsi="宋体" w:eastAsia="宋体" w:cs="宋体"/>
          <w:bCs/>
          <w:color w:val="000000"/>
          <w:sz w:val="24"/>
          <w:szCs w:val="18"/>
        </w:rPr>
        <w:t>①</w:t>
      </w:r>
      <w:r>
        <w:rPr>
          <w:rFonts w:hint="eastAsia" w:ascii="宋体" w:hAnsi="宋体" w:eastAsia="宋体"/>
          <w:bCs/>
          <w:color w:val="000000"/>
          <w:sz w:val="24"/>
          <w:szCs w:val="18"/>
        </w:rPr>
        <w:t>包括交付使用前的全部费用，包括设计费、货物购置费（包括所有设备&lt;主材&gt;、辅材、零配件、易损件、备品备件及专用工具费等）、生产制造费、安装调试费（含水电费）、保险费、运输费、免费质保期内的维修维护费、其他费用（如管理费、包装费、仓储费、保管费、资料费以及完成本项目所需要的其他费用）及所有价内价外税金及合理利润等。</w:t>
      </w:r>
      <w:r>
        <w:rPr>
          <w:rFonts w:hint="eastAsia" w:ascii="宋体" w:hAnsi="宋体" w:eastAsia="宋体" w:cs="宋体"/>
          <w:bCs/>
          <w:color w:val="000000"/>
          <w:sz w:val="24"/>
          <w:szCs w:val="18"/>
        </w:rPr>
        <w:t>②包括学校其他</w:t>
      </w:r>
      <w:r>
        <w:rPr>
          <w:rFonts w:hint="eastAsia" w:ascii="宋体" w:hAnsi="宋体" w:eastAsia="宋体"/>
          <w:bCs/>
          <w:color w:val="000000"/>
          <w:sz w:val="24"/>
          <w:szCs w:val="18"/>
        </w:rPr>
        <w:t>项目衔接费用：项目对接、设备安装、相关耗材费等。</w:t>
      </w:r>
      <w:r>
        <w:rPr>
          <w:rFonts w:hint="eastAsia" w:ascii="宋体" w:hAnsi="宋体" w:eastAsia="宋体" w:cs="宋体"/>
          <w:bCs/>
          <w:color w:val="000000"/>
          <w:sz w:val="24"/>
          <w:szCs w:val="18"/>
        </w:rPr>
        <w:t>③包括</w:t>
      </w:r>
      <w:r>
        <w:rPr>
          <w:rFonts w:hint="eastAsia" w:ascii="宋体" w:hAnsi="宋体" w:eastAsia="宋体"/>
          <w:bCs/>
          <w:color w:val="000000"/>
          <w:sz w:val="24"/>
          <w:szCs w:val="18"/>
        </w:rPr>
        <w:t>所有客户端的激活费用、软硬件加密狗激活费用、相关配套软件注册激活费用等。</w:t>
      </w:r>
    </w:p>
    <w:p>
      <w:pPr>
        <w:spacing w:line="360" w:lineRule="auto"/>
        <w:ind w:firstLine="437"/>
        <w:rPr>
          <w:rFonts w:ascii="宋体" w:hAnsi="宋体" w:eastAsia="宋体"/>
          <w:bCs/>
          <w:color w:val="000000"/>
          <w:sz w:val="24"/>
          <w:szCs w:val="18"/>
        </w:rPr>
      </w:pPr>
      <w:r>
        <w:rPr>
          <w:rFonts w:hint="eastAsia" w:ascii="宋体" w:hAnsi="宋体" w:eastAsia="宋体"/>
          <w:bCs/>
          <w:color w:val="000000"/>
          <w:sz w:val="24"/>
          <w:szCs w:val="18"/>
        </w:rPr>
        <w:t>2.本项目为交钥匙工程，所有货物由中标人直接送达采购人指定地址，供货时需经采购人核对所有产品的品牌、型号、规格，经查验合格方可进行安装、调试。中标人须保证采购人此次采购项目各系统的完整性，如项目实施过程中因缺少辅材、配件或服务等其他因素导致采购人各系统无法正常运行，中标人须正常提供，不得另行收取费用。</w:t>
      </w:r>
    </w:p>
    <w:p>
      <w:pPr>
        <w:spacing w:line="360" w:lineRule="auto"/>
        <w:ind w:firstLine="437"/>
        <w:rPr>
          <w:rFonts w:ascii="宋体" w:hAnsi="宋体" w:eastAsia="宋体"/>
          <w:bCs/>
          <w:color w:val="000000"/>
          <w:sz w:val="24"/>
          <w:szCs w:val="18"/>
        </w:rPr>
      </w:pPr>
      <w:r>
        <w:rPr>
          <w:rFonts w:hint="eastAsia" w:ascii="宋体" w:hAnsi="宋体" w:eastAsia="宋体"/>
          <w:bCs/>
          <w:color w:val="000000"/>
          <w:sz w:val="24"/>
          <w:szCs w:val="18"/>
        </w:rPr>
        <w:t>3.若因为不可抗力（如政策调整、合作调整等因素）导致相关功能不能正常使用，中标人应当免费提供解决方案，并落实补救措施，确保校方正常使用，不得收取额外费用。</w:t>
      </w:r>
    </w:p>
    <w:p>
      <w:pPr>
        <w:spacing w:line="360" w:lineRule="auto"/>
        <w:ind w:firstLine="437"/>
        <w:rPr>
          <w:rFonts w:ascii="宋体" w:hAnsi="宋体" w:eastAsia="宋体"/>
          <w:bCs/>
          <w:sz w:val="24"/>
          <w:szCs w:val="18"/>
        </w:rPr>
      </w:pPr>
      <w:r>
        <w:rPr>
          <w:rFonts w:hint="eastAsia" w:ascii="宋体" w:hAnsi="宋体" w:eastAsia="宋体"/>
          <w:bCs/>
          <w:color w:val="000000"/>
          <w:sz w:val="24"/>
          <w:szCs w:val="18"/>
        </w:rPr>
        <w:t>4.投标报价为完成本次项目所发生的一切费用，采购人后期不再追加任何费用，请投标人综合考虑各种风险谨慎报价。</w:t>
      </w:r>
      <w:r>
        <w:rPr>
          <w:rFonts w:hint="eastAsia" w:ascii="宋体" w:hAnsi="宋体" w:eastAsia="宋体"/>
          <w:bCs/>
          <w:sz w:val="24"/>
          <w:szCs w:val="18"/>
        </w:rPr>
        <w:t xml:space="preserve"> </w:t>
      </w:r>
      <w:permEnd w:id="3"/>
    </w:p>
    <w:p>
      <w:pPr>
        <w:spacing w:line="360" w:lineRule="auto"/>
        <w:ind w:firstLine="437"/>
        <w:outlineLvl w:val="1"/>
        <w:rPr>
          <w:rFonts w:ascii="宋体" w:hAnsi="宋体" w:eastAsia="宋体"/>
          <w:b/>
          <w:bCs/>
          <w:sz w:val="24"/>
          <w:szCs w:val="18"/>
        </w:rPr>
      </w:pPr>
      <w:bookmarkStart w:id="15" w:name="_Toc20457"/>
      <w:bookmarkStart w:id="16" w:name="_Toc14698"/>
      <w:bookmarkStart w:id="17" w:name="_Toc15293"/>
      <w:r>
        <w:rPr>
          <w:rFonts w:hint="eastAsia" w:ascii="宋体" w:hAnsi="宋体" w:eastAsia="宋体"/>
          <w:b/>
          <w:bCs/>
          <w:sz w:val="24"/>
          <w:szCs w:val="18"/>
        </w:rPr>
        <w:t>四、其他要求</w:t>
      </w:r>
      <w:bookmarkEnd w:id="15"/>
      <w:bookmarkEnd w:id="16"/>
      <w:bookmarkEnd w:id="17"/>
    </w:p>
    <w:p>
      <w:pPr>
        <w:spacing w:line="360" w:lineRule="auto"/>
        <w:ind w:firstLine="437"/>
        <w:rPr>
          <w:rFonts w:ascii="宋体" w:hAnsi="宋体" w:eastAsia="宋体" w:cs="宋体"/>
          <w:sz w:val="24"/>
          <w:szCs w:val="24"/>
        </w:rPr>
      </w:pPr>
      <w:permStart w:id="4" w:edGrp="everyone"/>
      <w:r>
        <w:rPr>
          <w:rFonts w:hint="eastAsia" w:ascii="宋体" w:hAnsi="宋体" w:eastAsia="宋体" w:cs="宋体"/>
          <w:sz w:val="24"/>
          <w:szCs w:val="24"/>
        </w:rPr>
        <w:t>1.质量要求：为保证产品质量，中标人中标后，采购人可对中标人所投产品、选型或技术方案或技术细节进一步确认，内容包括并不限于：投标文件内各项资质证书、产品证明文件、检测报告等。若中标人不提供或提供的证明文件达不到投标时的技术参数要求，则视为虚假响应，自愿放弃该项目，采购人将上报监管部门处理，由此造成的一切损失由中标人承担。</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2.维保要求：在保修期内，应提供包括系统服务、技术支持、故障响应等服务。质保期内出现问题，乙方应负责三包（包修、包换、包退），费用由中标供应商负担。</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3.人员培训：成交人须按照采购人的要求在指定时间和地点提供完善的技术培训，保障采购项目的实施和运行。同时提供相关产品培训资料。</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4.技术支持：项目实施期间及项目结束后可持续为采购人提供技术支持工作，包含日常故障诊断及排除、配置调试、硬件维修、技术咨询等，技术支持方式包括但不限于电话、社交软件、邮件、现场等方式。</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5.资料归档：项目结束后，须为学校提供全套、完整的书面技术资料，包括但不限于：说明书、操作手册、简单维修说明、图纸等。</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软件开发：</w:t>
      </w:r>
      <w:r>
        <w:rPr>
          <w:rFonts w:ascii="宋体" w:hAnsi="宋体" w:eastAsia="宋体" w:cs="宋体"/>
          <w:sz w:val="24"/>
          <w:szCs w:val="24"/>
        </w:rPr>
        <w:t>关于综合校园管理平台</w:t>
      </w:r>
      <w:r>
        <w:rPr>
          <w:rFonts w:hint="eastAsia" w:ascii="宋体" w:hAnsi="宋体" w:eastAsia="宋体" w:cs="宋体"/>
          <w:sz w:val="24"/>
          <w:szCs w:val="24"/>
        </w:rPr>
        <w:t>的功能</w:t>
      </w:r>
      <w:r>
        <w:rPr>
          <w:rFonts w:ascii="宋体" w:hAnsi="宋体" w:eastAsia="宋体" w:cs="宋体"/>
          <w:sz w:val="24"/>
          <w:szCs w:val="24"/>
        </w:rPr>
        <w:t>需求，中标人在开发前须跟业主单位</w:t>
      </w:r>
      <w:r>
        <w:rPr>
          <w:rFonts w:hint="eastAsia" w:ascii="宋体" w:hAnsi="宋体" w:eastAsia="宋体" w:cs="宋体"/>
          <w:sz w:val="24"/>
          <w:szCs w:val="24"/>
        </w:rPr>
        <w:t>进一步</w:t>
      </w:r>
      <w:r>
        <w:rPr>
          <w:rFonts w:ascii="宋体" w:hAnsi="宋体" w:eastAsia="宋体" w:cs="宋体"/>
          <w:sz w:val="24"/>
          <w:szCs w:val="24"/>
        </w:rPr>
        <w:t>调研和确认，方可实施。</w:t>
      </w:r>
    </w:p>
    <w:p>
      <w:pPr>
        <w:spacing w:line="360" w:lineRule="auto"/>
        <w:ind w:firstLine="437"/>
        <w:rPr>
          <w:rFonts w:ascii="宋体" w:hAnsi="宋体" w:eastAsia="宋体" w:cs="宋体"/>
          <w:sz w:val="24"/>
          <w:szCs w:val="24"/>
        </w:rPr>
      </w:pPr>
      <w:r>
        <w:rPr>
          <w:rFonts w:hint="eastAsia" w:ascii="宋体" w:hAnsi="宋体" w:eastAsia="宋体" w:cs="宋体"/>
          <w:b/>
          <w:bCs/>
          <w:sz w:val="24"/>
          <w:szCs w:val="24"/>
        </w:rPr>
        <w:t>7.特别要求：</w:t>
      </w:r>
    </w:p>
    <w:p>
      <w:pPr>
        <w:spacing w:line="360" w:lineRule="auto"/>
        <w:ind w:firstLine="437"/>
        <w:rPr>
          <w:rFonts w:ascii="宋体" w:hAnsi="宋体" w:eastAsia="宋体" w:cs="宋体"/>
          <w:sz w:val="24"/>
          <w:szCs w:val="24"/>
        </w:rPr>
      </w:pPr>
      <w:r>
        <w:rPr>
          <w:rFonts w:hint="eastAsia" w:ascii="宋体" w:hAnsi="宋体" w:eastAsia="宋体" w:cs="宋体"/>
          <w:sz w:val="24"/>
          <w:szCs w:val="24"/>
        </w:rPr>
        <w:t>★①</w:t>
      </w:r>
      <w:r>
        <w:rPr>
          <w:rFonts w:ascii="宋体" w:hAnsi="宋体" w:eastAsia="宋体" w:cs="宋体"/>
          <w:sz w:val="24"/>
          <w:szCs w:val="24"/>
        </w:rPr>
        <w:t>为保障教学顺利进行，要求投标</w:t>
      </w:r>
      <w:r>
        <w:rPr>
          <w:rFonts w:hint="eastAsia" w:ascii="宋体" w:hAnsi="宋体" w:eastAsia="宋体" w:cs="宋体"/>
          <w:sz w:val="24"/>
          <w:szCs w:val="24"/>
        </w:rPr>
        <w:t>人</w:t>
      </w:r>
      <w:r>
        <w:rPr>
          <w:rFonts w:ascii="宋体" w:hAnsi="宋体" w:eastAsia="宋体" w:cs="宋体"/>
          <w:sz w:val="24"/>
          <w:szCs w:val="24"/>
        </w:rPr>
        <w:t>提供</w:t>
      </w:r>
      <w:r>
        <w:rPr>
          <w:rFonts w:hint="eastAsia" w:ascii="宋体" w:hAnsi="宋体" w:eastAsia="宋体" w:cs="宋体"/>
          <w:sz w:val="24"/>
          <w:szCs w:val="24"/>
        </w:rPr>
        <w:t>承诺函（格式自拟）</w:t>
      </w:r>
      <w:r>
        <w:rPr>
          <w:rFonts w:ascii="宋体" w:hAnsi="宋体" w:eastAsia="宋体" w:cs="宋体"/>
          <w:sz w:val="24"/>
          <w:szCs w:val="24"/>
        </w:rPr>
        <w:t>，</w:t>
      </w:r>
      <w:r>
        <w:rPr>
          <w:rFonts w:hint="eastAsia" w:ascii="宋体" w:hAnsi="宋体" w:eastAsia="宋体" w:cs="宋体"/>
          <w:sz w:val="24"/>
          <w:szCs w:val="24"/>
        </w:rPr>
        <w:t>承诺在</w:t>
      </w:r>
      <w:r>
        <w:rPr>
          <w:rFonts w:ascii="宋体" w:hAnsi="宋体" w:eastAsia="宋体" w:cs="宋体"/>
          <w:sz w:val="24"/>
          <w:szCs w:val="24"/>
        </w:rPr>
        <w:t>保修期内</w:t>
      </w:r>
      <w:r>
        <w:rPr>
          <w:rFonts w:hint="eastAsia" w:ascii="宋体" w:hAnsi="宋体" w:eastAsia="宋体" w:cs="宋体"/>
          <w:sz w:val="24"/>
          <w:szCs w:val="24"/>
        </w:rPr>
        <w:t>提供</w:t>
      </w:r>
      <w:r>
        <w:rPr>
          <w:rFonts w:ascii="宋体" w:hAnsi="宋体" w:eastAsia="宋体" w:cs="宋体"/>
          <w:sz w:val="24"/>
          <w:szCs w:val="24"/>
        </w:rPr>
        <w:t xml:space="preserve"> 7*24 小时服务、2 小时到达现场服务</w:t>
      </w:r>
      <w:r>
        <w:rPr>
          <w:rFonts w:hint="eastAsia" w:ascii="宋体" w:hAnsi="宋体" w:eastAsia="宋体" w:cs="宋体"/>
          <w:sz w:val="24"/>
          <w:szCs w:val="24"/>
        </w:rPr>
        <w:t>；提供包括系统服务、技术支持、故障响应等服务；质保期内出现问题，乙方应负责三包（包修、包换、包退），零配件均为国家标准配件。</w:t>
      </w:r>
    </w:p>
    <w:p>
      <w:pPr>
        <w:spacing w:line="360" w:lineRule="auto"/>
        <w:ind w:firstLine="437"/>
        <w:outlineLvl w:val="1"/>
        <w:rPr>
          <w:rFonts w:ascii="宋体" w:hAnsi="宋体" w:eastAsia="宋体" w:cs="宋体"/>
          <w:color w:val="000000"/>
          <w:sz w:val="24"/>
          <w:szCs w:val="24"/>
        </w:rPr>
      </w:pPr>
      <w:r>
        <w:rPr>
          <w:rFonts w:ascii="宋体" w:hAnsi="宋体" w:eastAsia="宋体" w:cs="宋体"/>
          <w:color w:val="000000"/>
          <w:sz w:val="24"/>
          <w:szCs w:val="24"/>
        </w:rPr>
        <w:t>★②为方便设备统一运营维护，要求投标人提供承诺函（格式自拟），以下设备投标时须</w:t>
      </w:r>
      <w:r>
        <w:rPr>
          <w:rFonts w:hint="eastAsia" w:ascii="宋体" w:hAnsi="宋体" w:eastAsia="宋体" w:cs="宋体"/>
          <w:color w:val="000000"/>
          <w:sz w:val="24"/>
          <w:szCs w:val="24"/>
        </w:rPr>
        <w:t>确保兼容性满足采购人实际需求</w:t>
      </w:r>
      <w:r>
        <w:rPr>
          <w:rFonts w:ascii="宋体" w:hAnsi="宋体" w:eastAsia="宋体" w:cs="宋体"/>
          <w:color w:val="000000"/>
          <w:sz w:val="24"/>
          <w:szCs w:val="24"/>
        </w:rPr>
        <w:t>。</w:t>
      </w:r>
    </w:p>
    <w:tbl>
      <w:tblPr>
        <w:tblStyle w:val="3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7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序号</w:t>
            </w:r>
          </w:p>
        </w:tc>
        <w:tc>
          <w:tcPr>
            <w:tcW w:w="7637"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1</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智慧教学系统：86吋一体机、智慧黑板、双屏智慧黑板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2</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智慧教学系统：教师教学终端（计算机教室）、学生学习终端（计算机教室）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3</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LED全彩屏（含室内和室外屏）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4</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礼堂演出及会议系统：扬声器、功率放大器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5</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智慧课堂系统：教师移动终端、学生移动终端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vAlign w:val="center"/>
          </w:tcPr>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6</w:t>
            </w:r>
          </w:p>
        </w:tc>
        <w:tc>
          <w:tcPr>
            <w:tcW w:w="7637" w:type="dxa"/>
            <w:vAlign w:val="center"/>
          </w:tcPr>
          <w:p>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能耗监测及智慧物联系统：能耗数据采集器、无线空调控制器、智能断路器</w:t>
            </w:r>
          </w:p>
        </w:tc>
      </w:tr>
    </w:tbl>
    <w:p>
      <w:pPr>
        <w:ind w:firstLine="480" w:firstLineChars="200"/>
        <w:jc w:val="left"/>
        <w:rPr>
          <w:rFonts w:ascii="宋体" w:hAnsi="宋体" w:eastAsia="宋体" w:cs="宋体"/>
          <w:bCs/>
          <w:color w:val="000000"/>
          <w:sz w:val="24"/>
          <w:szCs w:val="24"/>
        </w:rPr>
      </w:pPr>
    </w:p>
    <w:p>
      <w:pPr>
        <w:spacing w:line="360" w:lineRule="auto"/>
        <w:ind w:firstLine="437"/>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③为方便后期增加功能，</w:t>
      </w:r>
      <w:r>
        <w:rPr>
          <w:rFonts w:ascii="宋体" w:hAnsi="宋体" w:eastAsia="宋体" w:cs="宋体"/>
          <w:sz w:val="24"/>
          <w:szCs w:val="24"/>
        </w:rPr>
        <w:t>要求投标</w:t>
      </w:r>
      <w:r>
        <w:rPr>
          <w:rFonts w:hint="eastAsia" w:ascii="宋体" w:hAnsi="宋体" w:eastAsia="宋体" w:cs="宋体"/>
          <w:sz w:val="24"/>
          <w:szCs w:val="24"/>
        </w:rPr>
        <w:t>人提供承诺函（格式自拟），本项目</w:t>
      </w:r>
      <w:r>
        <w:rPr>
          <w:rFonts w:ascii="宋体" w:hAnsi="宋体" w:eastAsia="宋体" w:cs="宋体"/>
          <w:sz w:val="24"/>
          <w:szCs w:val="24"/>
        </w:rPr>
        <w:t>采购的智慧校园各子系统，须免费开放接口协议</w:t>
      </w:r>
      <w:r>
        <w:rPr>
          <w:rFonts w:hint="eastAsia" w:ascii="宋体" w:hAnsi="宋体" w:eastAsia="宋体" w:cs="宋体"/>
          <w:sz w:val="24"/>
          <w:szCs w:val="24"/>
        </w:rPr>
        <w:t>、</w:t>
      </w:r>
      <w:r>
        <w:rPr>
          <w:rFonts w:ascii="宋体" w:hAnsi="宋体" w:eastAsia="宋体" w:cs="宋体"/>
          <w:sz w:val="24"/>
          <w:szCs w:val="24"/>
        </w:rPr>
        <w:t>提供相应文本</w:t>
      </w:r>
      <w:r>
        <w:rPr>
          <w:rFonts w:hint="eastAsia" w:ascii="宋体" w:hAnsi="宋体" w:eastAsia="宋体" w:cs="宋体"/>
          <w:sz w:val="24"/>
          <w:szCs w:val="24"/>
        </w:rPr>
        <w:t>、配合相应工作</w:t>
      </w:r>
      <w:r>
        <w:rPr>
          <w:rFonts w:ascii="宋体" w:hAnsi="宋体" w:eastAsia="宋体" w:cs="宋体"/>
          <w:sz w:val="24"/>
          <w:szCs w:val="24"/>
        </w:rPr>
        <w:t>，须免费支持综合校园管理平台的集成工作。</w:t>
      </w:r>
    </w:p>
    <w:p>
      <w:pPr>
        <w:spacing w:line="360" w:lineRule="auto"/>
        <w:ind w:firstLine="437"/>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④</w:t>
      </w:r>
      <w:r>
        <w:rPr>
          <w:rFonts w:ascii="宋体" w:hAnsi="宋体" w:eastAsia="宋体" w:cs="宋体"/>
          <w:sz w:val="24"/>
          <w:szCs w:val="24"/>
        </w:rPr>
        <w:t>为</w:t>
      </w:r>
      <w:r>
        <w:rPr>
          <w:rFonts w:hint="eastAsia" w:ascii="宋体" w:hAnsi="宋体" w:eastAsia="宋体" w:cs="宋体"/>
          <w:sz w:val="24"/>
          <w:szCs w:val="24"/>
        </w:rPr>
        <w:t>保障联通蚌埠市智慧课堂，</w:t>
      </w:r>
      <w:r>
        <w:rPr>
          <w:rFonts w:ascii="宋体" w:hAnsi="宋体" w:eastAsia="宋体" w:cs="宋体"/>
          <w:sz w:val="24"/>
          <w:szCs w:val="24"/>
        </w:rPr>
        <w:t>要求投标</w:t>
      </w:r>
      <w:r>
        <w:rPr>
          <w:rFonts w:hint="eastAsia" w:ascii="宋体" w:hAnsi="宋体" w:eastAsia="宋体" w:cs="宋体"/>
          <w:sz w:val="24"/>
          <w:szCs w:val="24"/>
        </w:rPr>
        <w:t>人提供承诺函（格式自拟），教师授课系统须与蚌埠市智慧课堂班级作业与数据分析系统数据互联互通。</w:t>
      </w:r>
    </w:p>
    <w:p>
      <w:pPr>
        <w:spacing w:line="360" w:lineRule="auto"/>
        <w:ind w:firstLine="437"/>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⑤为保证本项目软硬件满足需求和兼容性，投标人应自行现场调研，主动与采购人沟通了解学校现用设备与软件的具体细节，确保所投产品及服务可与学校现用设备、软件兼容使用，符合本项目采购需求。</w:t>
      </w:r>
      <w:r>
        <w:rPr>
          <w:rFonts w:ascii="宋体" w:hAnsi="宋体" w:eastAsia="宋体" w:cs="宋体"/>
          <w:sz w:val="24"/>
          <w:szCs w:val="24"/>
        </w:rPr>
        <w:t>要求投标</w:t>
      </w:r>
      <w:r>
        <w:rPr>
          <w:rFonts w:hint="eastAsia" w:ascii="宋体" w:hAnsi="宋体" w:eastAsia="宋体" w:cs="宋体"/>
          <w:sz w:val="24"/>
          <w:szCs w:val="24"/>
        </w:rPr>
        <w:t>人提供承诺函（格式自拟），承诺所提供产品、所定制开发软件满足学校使用需求，兼容学校现用设备、软件等。</w:t>
      </w:r>
    </w:p>
    <w:p>
      <w:pPr>
        <w:spacing w:line="360" w:lineRule="auto"/>
        <w:jc w:val="center"/>
        <w:outlineLvl w:val="1"/>
        <w:rPr>
          <w:rFonts w:ascii="宋体" w:hAnsi="宋体" w:eastAsia="宋体" w:cs="宋体"/>
          <w:color w:val="000000"/>
          <w:sz w:val="24"/>
          <w:szCs w:val="24"/>
        </w:rPr>
      </w:pPr>
      <w:r>
        <w:rPr>
          <w:rFonts w:hint="eastAsia" w:ascii="宋体" w:hAnsi="宋体" w:eastAsia="宋体" w:cs="宋体"/>
          <w:color w:val="000000"/>
          <w:sz w:val="24"/>
          <w:szCs w:val="24"/>
        </w:rPr>
        <w:t>本项目综合校园管理平台定制软件涉及到的场景及应用模块见如下列表</w:t>
      </w:r>
    </w:p>
    <w:tbl>
      <w:tblPr>
        <w:tblStyle w:val="35"/>
        <w:tblW w:w="8519" w:type="dxa"/>
        <w:tblInd w:w="0" w:type="dxa"/>
        <w:tblLayout w:type="fixed"/>
        <w:tblCellMar>
          <w:top w:w="0" w:type="dxa"/>
          <w:left w:w="108" w:type="dxa"/>
          <w:bottom w:w="0" w:type="dxa"/>
          <w:right w:w="108" w:type="dxa"/>
        </w:tblCellMar>
      </w:tblPr>
      <w:tblGrid>
        <w:gridCol w:w="1379"/>
        <w:gridCol w:w="5757"/>
        <w:gridCol w:w="1383"/>
      </w:tblGrid>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序号</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货物名称</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数量(单位)</w:t>
            </w:r>
          </w:p>
        </w:tc>
      </w:tr>
      <w:tr>
        <w:tblPrEx>
          <w:tblLayout w:type="fixed"/>
          <w:tblCellMar>
            <w:top w:w="0" w:type="dxa"/>
            <w:left w:w="108" w:type="dxa"/>
            <w:bottom w:w="0" w:type="dxa"/>
            <w:right w:w="108" w:type="dxa"/>
          </w:tblCellMar>
        </w:tblPrEx>
        <w:tc>
          <w:tcPr>
            <w:tcW w:w="851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Cs w:val="21"/>
              </w:rPr>
            </w:pPr>
            <w:r>
              <w:rPr>
                <w:rFonts w:hint="eastAsia" w:ascii="宋体" w:hAnsi="宋体" w:eastAsia="宋体" w:cs="宋体"/>
                <w:color w:val="000000"/>
                <w:kern w:val="0"/>
                <w:szCs w:val="21"/>
                <w:lang w:bidi="ar"/>
              </w:rPr>
              <w:t>8.综合校园管理平台</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停车系统模块集成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信息发布模块集成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广播系统模块集成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视频监控系统模块集成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5</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校园一卡通系统模块集成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6</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消费管理子系统模块集成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7</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门禁管理子系统模块集成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8</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电子围栏子系统模块集成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9</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报警求助系统模块集成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10</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楼宇自控模块集成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11</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能耗监测及智慧物联系统模块集成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12</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机房工程模块集成</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13</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智慧课堂系统模块</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14</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学业评价系统模块</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15</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智慧体育操场模块</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16</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三维基础建模服务</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17</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环境可视化</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18</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室外建筑可视化</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19</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结构可视化</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20</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精细化建模可视化</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21</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综合态势</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22</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智慧通行场景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23</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机房动环场景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24</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智慧能耗场景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25</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视频监控场景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26</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其他智慧场景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27</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智慧运维场景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28</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教学态势场景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29</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校园安全报警管理</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30</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归寝数据可视化场景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31</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移动端（访客）</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32</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手机端（教职工）</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33</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电脑pc端</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34</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场景联动</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35</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班级安全</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36</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学生在校情况</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37</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学生考勤</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38</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喊家长</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39</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班牌公告</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40</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视频巡视</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r>
        <w:tblPrEx>
          <w:tblLayout w:type="fixed"/>
          <w:tblCellMar>
            <w:top w:w="0" w:type="dxa"/>
            <w:left w:w="108" w:type="dxa"/>
            <w:bottom w:w="0" w:type="dxa"/>
            <w:right w:w="108" w:type="dxa"/>
          </w:tblCellMar>
        </w:tblPrEx>
        <w:tc>
          <w:tcPr>
            <w:tcW w:w="1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41</w:t>
            </w:r>
          </w:p>
        </w:tc>
        <w:tc>
          <w:tcPr>
            <w:tcW w:w="57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学生管理</w:t>
            </w:r>
          </w:p>
        </w:tc>
        <w:tc>
          <w:tcPr>
            <w:tcW w:w="13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1项</w:t>
            </w:r>
          </w:p>
        </w:tc>
      </w:tr>
    </w:tbl>
    <w:p>
      <w:pPr>
        <w:spacing w:line="360" w:lineRule="auto"/>
        <w:ind w:firstLine="437"/>
        <w:rPr>
          <w:rFonts w:ascii="宋体" w:hAnsi="宋体" w:eastAsia="宋体" w:cs="宋体"/>
          <w:sz w:val="24"/>
          <w:szCs w:val="24"/>
        </w:rPr>
      </w:pPr>
    </w:p>
    <w:p>
      <w:pPr>
        <w:spacing w:line="360" w:lineRule="auto"/>
        <w:ind w:firstLine="437"/>
        <w:rPr>
          <w:rFonts w:ascii="宋体" w:hAnsi="宋体" w:eastAsia="宋体"/>
          <w:sz w:val="24"/>
          <w:szCs w:val="18"/>
        </w:rPr>
      </w:pPr>
      <w:r>
        <w:rPr>
          <w:rFonts w:hint="eastAsia" w:ascii="宋体" w:hAnsi="宋体" w:eastAsia="宋体" w:cs="宋体"/>
          <w:sz w:val="24"/>
          <w:szCs w:val="24"/>
        </w:rPr>
        <w:t>以上承诺函格式自拟，在“其他相关证明材料”中体现，没有提供相应承诺函将视为未实质性响应采购需求，如不能按照承诺履约，一切后果由中标人自行承担。</w:t>
      </w:r>
    </w:p>
    <w:permEnd w:id="4"/>
    <w:p>
      <w:pPr>
        <w:spacing w:line="360" w:lineRule="auto"/>
        <w:rPr>
          <w:rFonts w:ascii="宋体" w:hAnsi="宋体" w:eastAsia="宋体"/>
          <w:bCs/>
          <w:sz w:val="24"/>
          <w:szCs w:val="18"/>
        </w:rPr>
      </w:pPr>
    </w:p>
    <w:p>
      <w:pPr>
        <w:spacing w:line="360" w:lineRule="auto"/>
        <w:ind w:firstLine="437"/>
        <w:outlineLvl w:val="1"/>
        <w:rPr>
          <w:rFonts w:ascii="宋体" w:hAnsi="宋体" w:eastAsia="宋体"/>
          <w:b/>
          <w:bCs/>
          <w:sz w:val="24"/>
          <w:szCs w:val="18"/>
        </w:rPr>
      </w:pPr>
      <w:permStart w:id="5" w:edGrp="everyone"/>
      <w:bookmarkStart w:id="18" w:name="_Toc6897"/>
      <w:bookmarkStart w:id="19" w:name="_Toc10710"/>
      <w:bookmarkStart w:id="20" w:name="_Toc12681"/>
      <w:r>
        <w:rPr>
          <w:rFonts w:hint="eastAsia" w:ascii="宋体" w:hAnsi="宋体" w:eastAsia="宋体"/>
          <w:b/>
          <w:bCs/>
          <w:sz w:val="24"/>
          <w:szCs w:val="18"/>
        </w:rPr>
        <w:t>五、样品</w:t>
      </w:r>
      <w:r>
        <w:rPr>
          <w:rFonts w:hint="eastAsia" w:ascii="宋体" w:hAnsi="宋体" w:eastAsia="宋体"/>
          <w:b/>
          <w:sz w:val="24"/>
          <w:szCs w:val="18"/>
        </w:rPr>
        <w:t>要求</w:t>
      </w:r>
      <w:bookmarkEnd w:id="18"/>
      <w:bookmarkEnd w:id="19"/>
      <w:bookmarkEnd w:id="20"/>
    </w:p>
    <w:p>
      <w:pPr>
        <w:spacing w:line="360" w:lineRule="auto"/>
        <w:ind w:firstLine="480" w:firstLineChars="200"/>
      </w:pPr>
      <w:r>
        <w:rPr>
          <w:rFonts w:hint="eastAsia" w:asciiTheme="minorEastAsia" w:hAnsiTheme="minorEastAsia" w:eastAsiaTheme="minorEastAsia"/>
          <w:sz w:val="24"/>
        </w:rPr>
        <w:t>无。</w:t>
      </w:r>
      <w:perm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微软简标宋">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9C7B2"/>
    <w:multiLevelType w:val="singleLevel"/>
    <w:tmpl w:val="83E9C7B2"/>
    <w:lvl w:ilvl="0" w:tentative="0">
      <w:start w:val="1"/>
      <w:numFmt w:val="decimal"/>
      <w:lvlText w:val="%1."/>
      <w:lvlJc w:val="left"/>
      <w:pPr>
        <w:tabs>
          <w:tab w:val="left" w:pos="312"/>
        </w:tabs>
        <w:ind w:left="0" w:firstLine="0"/>
      </w:pPr>
    </w:lvl>
  </w:abstractNum>
  <w:abstractNum w:abstractNumId="1">
    <w:nsid w:val="957CFB8A"/>
    <w:multiLevelType w:val="singleLevel"/>
    <w:tmpl w:val="957CFB8A"/>
    <w:lvl w:ilvl="0" w:tentative="0">
      <w:start w:val="1"/>
      <w:numFmt w:val="chineseCounting"/>
      <w:suff w:val="nothing"/>
      <w:lvlText w:val="%1、"/>
      <w:lvlJc w:val="left"/>
      <w:pPr>
        <w:ind w:left="0" w:firstLine="0"/>
      </w:pPr>
    </w:lvl>
  </w:abstractNum>
  <w:abstractNum w:abstractNumId="2">
    <w:nsid w:val="9C95C7ED"/>
    <w:multiLevelType w:val="singleLevel"/>
    <w:tmpl w:val="9C95C7ED"/>
    <w:lvl w:ilvl="0" w:tentative="0">
      <w:start w:val="1"/>
      <w:numFmt w:val="chineseCounting"/>
      <w:suff w:val="nothing"/>
      <w:lvlText w:val="%1、"/>
      <w:lvlJc w:val="left"/>
      <w:pPr>
        <w:ind w:left="0" w:firstLine="0"/>
      </w:pPr>
    </w:lvl>
  </w:abstractNum>
  <w:abstractNum w:abstractNumId="3">
    <w:nsid w:val="BB109B11"/>
    <w:multiLevelType w:val="singleLevel"/>
    <w:tmpl w:val="BB109B11"/>
    <w:lvl w:ilvl="0" w:tentative="0">
      <w:start w:val="1"/>
      <w:numFmt w:val="chineseCounting"/>
      <w:suff w:val="nothing"/>
      <w:lvlText w:val="%1、"/>
      <w:lvlJc w:val="left"/>
      <w:pPr>
        <w:ind w:left="0" w:firstLine="0"/>
      </w:pPr>
    </w:lvl>
  </w:abstractNum>
  <w:abstractNum w:abstractNumId="4">
    <w:nsid w:val="F844665D"/>
    <w:multiLevelType w:val="singleLevel"/>
    <w:tmpl w:val="F844665D"/>
    <w:lvl w:ilvl="0" w:tentative="0">
      <w:start w:val="1"/>
      <w:numFmt w:val="decimal"/>
      <w:lvlText w:val="%1."/>
      <w:lvlJc w:val="left"/>
      <w:pPr>
        <w:tabs>
          <w:tab w:val="left" w:pos="312"/>
        </w:tabs>
        <w:ind w:left="0" w:firstLine="0"/>
      </w:pPr>
    </w:lvl>
  </w:abstractNum>
  <w:abstractNum w:abstractNumId="5">
    <w:nsid w:val="FCB60646"/>
    <w:multiLevelType w:val="singleLevel"/>
    <w:tmpl w:val="FCB60646"/>
    <w:lvl w:ilvl="0" w:tentative="0">
      <w:start w:val="1"/>
      <w:numFmt w:val="chineseCounting"/>
      <w:suff w:val="nothing"/>
      <w:lvlText w:val="%1、"/>
      <w:lvlJc w:val="left"/>
      <w:pPr>
        <w:ind w:left="0" w:firstLine="0"/>
      </w:pPr>
    </w:lvl>
  </w:abstractNum>
  <w:abstractNum w:abstractNumId="6">
    <w:nsid w:val="07626B51"/>
    <w:multiLevelType w:val="singleLevel"/>
    <w:tmpl w:val="07626B51"/>
    <w:lvl w:ilvl="0" w:tentative="0">
      <w:start w:val="1"/>
      <w:numFmt w:val="chineseCounting"/>
      <w:suff w:val="nothing"/>
      <w:lvlText w:val="%1、"/>
      <w:lvlJc w:val="left"/>
      <w:pPr>
        <w:ind w:left="0" w:firstLine="0"/>
      </w:pPr>
    </w:lvl>
  </w:abstractNum>
  <w:abstractNum w:abstractNumId="7">
    <w:nsid w:val="1326A25F"/>
    <w:multiLevelType w:val="singleLevel"/>
    <w:tmpl w:val="1326A25F"/>
    <w:lvl w:ilvl="0" w:tentative="0">
      <w:start w:val="1"/>
      <w:numFmt w:val="chineseCounting"/>
      <w:suff w:val="nothing"/>
      <w:lvlText w:val="%1、"/>
      <w:lvlJc w:val="left"/>
      <w:pPr>
        <w:ind w:left="0" w:firstLine="0"/>
      </w:pPr>
    </w:lvl>
  </w:abstractNum>
  <w:abstractNum w:abstractNumId="8">
    <w:nsid w:val="2D30B831"/>
    <w:multiLevelType w:val="singleLevel"/>
    <w:tmpl w:val="2D30B831"/>
    <w:lvl w:ilvl="0" w:tentative="0">
      <w:start w:val="1"/>
      <w:numFmt w:val="chineseCounting"/>
      <w:suff w:val="nothing"/>
      <w:lvlText w:val="%1、"/>
      <w:lvlJc w:val="left"/>
      <w:pPr>
        <w:ind w:left="0" w:firstLine="0"/>
      </w:pPr>
    </w:lvl>
  </w:abstractNum>
  <w:num w:numId="1">
    <w:abstractNumId w:val="0"/>
  </w:num>
  <w:num w:numId="2">
    <w:abstractNumId w:val="6"/>
  </w:num>
  <w:num w:numId="3">
    <w:abstractNumId w:val="1"/>
  </w:num>
  <w:num w:numId="4">
    <w:abstractNumId w:val="5"/>
  </w:num>
  <w:num w:numId="5">
    <w:abstractNumId w:val="2"/>
  </w:num>
  <w:num w:numId="6">
    <w:abstractNumId w:val="7"/>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BBD"/>
    <w:rsid w:val="00053B75"/>
    <w:rsid w:val="0014458B"/>
    <w:rsid w:val="00451BBD"/>
    <w:rsid w:val="00C724CA"/>
    <w:rsid w:val="6016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21"/>
      <w:szCs w:val="20"/>
      <w:lang w:val="en-US" w:eastAsia="zh-CN" w:bidi="ar-SA"/>
    </w:rPr>
  </w:style>
  <w:style w:type="paragraph" w:styleId="3">
    <w:name w:val="heading 1"/>
    <w:basedOn w:val="1"/>
    <w:next w:val="1"/>
    <w:link w:val="39"/>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40"/>
    <w:semiHidden/>
    <w:unhideWhenUsed/>
    <w:qFormat/>
    <w:uiPriority w:val="0"/>
    <w:pPr>
      <w:keepNext/>
      <w:keepLines/>
      <w:spacing w:before="260" w:after="260" w:line="412" w:lineRule="auto"/>
      <w:outlineLvl w:val="1"/>
    </w:pPr>
    <w:rPr>
      <w:rFonts w:ascii="Arial" w:hAnsi="Arial" w:eastAsia="黑体" w:cs="Arial"/>
      <w:b/>
      <w:bCs/>
      <w:sz w:val="32"/>
      <w:szCs w:val="32"/>
    </w:rPr>
  </w:style>
  <w:style w:type="paragraph" w:styleId="5">
    <w:name w:val="heading 3"/>
    <w:basedOn w:val="1"/>
    <w:next w:val="1"/>
    <w:link w:val="41"/>
    <w:semiHidden/>
    <w:unhideWhenUsed/>
    <w:qFormat/>
    <w:uiPriority w:val="9"/>
    <w:pPr>
      <w:keepNext/>
      <w:keepLines/>
      <w:spacing w:before="260" w:after="260" w:line="415" w:lineRule="auto"/>
      <w:outlineLvl w:val="2"/>
    </w:pPr>
    <w:rPr>
      <w:b/>
      <w:bCs/>
      <w:sz w:val="32"/>
      <w:szCs w:val="32"/>
    </w:rPr>
  </w:style>
  <w:style w:type="paragraph" w:styleId="6">
    <w:name w:val="heading 4"/>
    <w:basedOn w:val="1"/>
    <w:next w:val="1"/>
    <w:link w:val="68"/>
    <w:semiHidden/>
    <w:unhideWhenUsed/>
    <w:qFormat/>
    <w:uiPriority w:val="0"/>
    <w:pPr>
      <w:keepNext/>
      <w:keepLines/>
      <w:spacing w:before="280" w:after="290" w:line="374" w:lineRule="auto"/>
      <w:outlineLvl w:val="3"/>
    </w:pPr>
    <w:rPr>
      <w:b/>
      <w:bCs/>
      <w:sz w:val="28"/>
      <w:szCs w:val="28"/>
    </w:rPr>
  </w:style>
  <w:style w:type="character" w:default="1" w:styleId="23">
    <w:name w:val="Default Paragraph Font"/>
    <w:semiHidden/>
    <w:unhideWhenUsed/>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styleId="7">
    <w:name w:val="annotation subject"/>
    <w:basedOn w:val="8"/>
    <w:next w:val="8"/>
    <w:link w:val="49"/>
    <w:semiHidden/>
    <w:unhideWhenUsed/>
    <w:qFormat/>
    <w:uiPriority w:val="99"/>
    <w:rPr>
      <w:b/>
      <w:bCs/>
    </w:rPr>
  </w:style>
  <w:style w:type="paragraph" w:styleId="8">
    <w:name w:val="annotation text"/>
    <w:basedOn w:val="1"/>
    <w:link w:val="43"/>
    <w:semiHidden/>
    <w:unhideWhenUsed/>
    <w:qFormat/>
    <w:uiPriority w:val="0"/>
    <w:pPr>
      <w:jc w:val="left"/>
    </w:pPr>
  </w:style>
  <w:style w:type="paragraph" w:styleId="9">
    <w:name w:val="Body Text First Indent"/>
    <w:basedOn w:val="10"/>
    <w:link w:val="47"/>
    <w:semiHidden/>
    <w:unhideWhenUsed/>
    <w:qFormat/>
    <w:uiPriority w:val="99"/>
    <w:pPr>
      <w:ind w:firstLine="420" w:firstLineChars="100"/>
    </w:pPr>
    <w:rPr>
      <w:rFonts w:ascii="@微软简标宋" w:hAnsi="@微软简标宋" w:eastAsia="@微软简标宋" w:cs="@微软简标宋"/>
      <w:szCs w:val="24"/>
      <w:lang w:val="zh-CN"/>
    </w:rPr>
  </w:style>
  <w:style w:type="paragraph" w:styleId="10">
    <w:name w:val="Body Text"/>
    <w:basedOn w:val="1"/>
    <w:link w:val="44"/>
    <w:semiHidden/>
    <w:unhideWhenUsed/>
    <w:qFormat/>
    <w:uiPriority w:val="0"/>
    <w:pPr>
      <w:spacing w:after="120"/>
    </w:pPr>
  </w:style>
  <w:style w:type="paragraph" w:styleId="11">
    <w:name w:val="Normal Indent"/>
    <w:basedOn w:val="1"/>
    <w:semiHidden/>
    <w:unhideWhenUsed/>
    <w:qFormat/>
    <w:uiPriority w:val="0"/>
    <w:pPr>
      <w:autoSpaceDE w:val="0"/>
      <w:autoSpaceDN w:val="0"/>
      <w:adjustRightInd w:val="0"/>
      <w:ind w:firstLine="420"/>
      <w:jc w:val="left"/>
    </w:pPr>
    <w:rPr>
      <w:rFonts w:ascii="宋体" w:hAnsi="Times New Roman" w:eastAsia="宋体" w:cs="Times New Roman"/>
      <w:kern w:val="0"/>
      <w:sz w:val="24"/>
    </w:rPr>
  </w:style>
  <w:style w:type="paragraph" w:styleId="12">
    <w:name w:val="Body Text Indent"/>
    <w:basedOn w:val="1"/>
    <w:link w:val="45"/>
    <w:semiHidden/>
    <w:unhideWhenUsed/>
    <w:qFormat/>
    <w:uiPriority w:val="0"/>
    <w:pPr>
      <w:spacing w:after="120"/>
      <w:ind w:left="420" w:leftChars="200"/>
    </w:pPr>
  </w:style>
  <w:style w:type="paragraph" w:styleId="13">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4">
    <w:name w:val="Plain Text"/>
    <w:basedOn w:val="1"/>
    <w:link w:val="48"/>
    <w:semiHidden/>
    <w:unhideWhenUsed/>
    <w:qFormat/>
    <w:uiPriority w:val="99"/>
    <w:rPr>
      <w:rFonts w:ascii="宋体" w:hAnsi="Courier New" w:eastAsiaTheme="minorEastAsia" w:cstheme="minorBidi"/>
      <w:szCs w:val="22"/>
    </w:rPr>
  </w:style>
  <w:style w:type="paragraph" w:styleId="15">
    <w:name w:val="Date"/>
    <w:basedOn w:val="1"/>
    <w:next w:val="1"/>
    <w:link w:val="46"/>
    <w:semiHidden/>
    <w:unhideWhenUsed/>
    <w:qFormat/>
    <w:uiPriority w:val="0"/>
    <w:rPr>
      <w:rFonts w:ascii="Arial" w:hAnsi="Arial" w:eastAsia="宋体" w:cs="Arial"/>
      <w:b/>
      <w:sz w:val="28"/>
    </w:rPr>
  </w:style>
  <w:style w:type="paragraph" w:styleId="16">
    <w:name w:val="Balloon Text"/>
    <w:basedOn w:val="1"/>
    <w:link w:val="50"/>
    <w:semiHidden/>
    <w:unhideWhenUsed/>
    <w:qFormat/>
    <w:uiPriority w:val="99"/>
    <w:rPr>
      <w:sz w:val="18"/>
      <w:szCs w:val="18"/>
    </w:rPr>
  </w:style>
  <w:style w:type="paragraph" w:styleId="17">
    <w:name w:val="footer"/>
    <w:basedOn w:val="1"/>
    <w:link w:val="38"/>
    <w:unhideWhenUsed/>
    <w:qFormat/>
    <w:uiPriority w:val="99"/>
    <w:pPr>
      <w:tabs>
        <w:tab w:val="center" w:pos="4153"/>
        <w:tab w:val="right" w:pos="8306"/>
      </w:tabs>
      <w:snapToGrid w:val="0"/>
      <w:jc w:val="left"/>
    </w:pPr>
    <w:rPr>
      <w:sz w:val="18"/>
      <w:szCs w:val="18"/>
    </w:rPr>
  </w:style>
  <w:style w:type="paragraph" w:styleId="18">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semiHidden/>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20">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21">
    <w:name w:val="Normal (Web)"/>
    <w:basedOn w:val="1"/>
    <w:semiHidden/>
    <w:unhideWhenUsed/>
    <w:qFormat/>
    <w:uiPriority w:val="0"/>
    <w:pPr>
      <w:spacing w:before="100" w:beforeAutospacing="1" w:after="100" w:afterAutospacing="1"/>
      <w:jc w:val="left"/>
    </w:pPr>
    <w:rPr>
      <w:rFonts w:cs="Times New Roman"/>
      <w:kern w:val="0"/>
      <w:sz w:val="24"/>
    </w:rPr>
  </w:style>
  <w:style w:type="paragraph" w:styleId="22">
    <w:name w:val="index 1"/>
    <w:basedOn w:val="1"/>
    <w:next w:val="1"/>
    <w:semiHidden/>
    <w:unhideWhenUsed/>
    <w:qFormat/>
    <w:uiPriority w:val="0"/>
    <w:pPr>
      <w:jc w:val="center"/>
    </w:pPr>
    <w:rPr>
      <w:rFonts w:ascii="Arial" w:hAnsi="Arial" w:eastAsia="Arial" w:cs="Arial"/>
      <w:b/>
      <w:bCs/>
      <w:sz w:val="28"/>
    </w:rPr>
  </w:style>
  <w:style w:type="character" w:styleId="24">
    <w:name w:val="FollowedHyperlink"/>
    <w:basedOn w:val="23"/>
    <w:semiHidden/>
    <w:unhideWhenUsed/>
    <w:uiPriority w:val="99"/>
    <w:rPr>
      <w:color w:val="5C5C5C"/>
      <w:u w:val="none"/>
    </w:rPr>
  </w:style>
  <w:style w:type="character" w:styleId="25">
    <w:name w:val="Emphasis"/>
    <w:basedOn w:val="23"/>
    <w:qFormat/>
    <w:uiPriority w:val="20"/>
  </w:style>
  <w:style w:type="character" w:styleId="26">
    <w:name w:val="HTML Definition"/>
    <w:basedOn w:val="23"/>
    <w:semiHidden/>
    <w:unhideWhenUsed/>
    <w:uiPriority w:val="99"/>
  </w:style>
  <w:style w:type="character" w:styleId="27">
    <w:name w:val="HTML Typewriter"/>
    <w:basedOn w:val="23"/>
    <w:semiHidden/>
    <w:unhideWhenUsed/>
    <w:uiPriority w:val="99"/>
    <w:rPr>
      <w:rFonts w:hint="default" w:ascii="Courier New" w:hAnsi="Courier New" w:eastAsia="Courier New" w:cs="Courier New"/>
      <w:sz w:val="24"/>
      <w:szCs w:val="24"/>
    </w:rPr>
  </w:style>
  <w:style w:type="character" w:styleId="28">
    <w:name w:val="HTML Variable"/>
    <w:basedOn w:val="23"/>
    <w:semiHidden/>
    <w:unhideWhenUsed/>
    <w:uiPriority w:val="99"/>
  </w:style>
  <w:style w:type="character" w:styleId="29">
    <w:name w:val="Hyperlink"/>
    <w:basedOn w:val="23"/>
    <w:semiHidden/>
    <w:unhideWhenUsed/>
    <w:qFormat/>
    <w:uiPriority w:val="99"/>
    <w:rPr>
      <w:color w:val="000000"/>
      <w:u w:val="single"/>
    </w:rPr>
  </w:style>
  <w:style w:type="character" w:styleId="30">
    <w:name w:val="HTML Code"/>
    <w:basedOn w:val="23"/>
    <w:semiHidden/>
    <w:unhideWhenUsed/>
    <w:uiPriority w:val="99"/>
    <w:rPr>
      <w:rFonts w:hint="default" w:ascii="Courier New" w:hAnsi="Courier New" w:eastAsia="Courier New" w:cs="Courier New"/>
      <w:sz w:val="24"/>
      <w:szCs w:val="24"/>
    </w:rPr>
  </w:style>
  <w:style w:type="character" w:styleId="31">
    <w:name w:val="annotation reference"/>
    <w:basedOn w:val="23"/>
    <w:semiHidden/>
    <w:unhideWhenUsed/>
    <w:qFormat/>
    <w:uiPriority w:val="99"/>
    <w:rPr>
      <w:sz w:val="21"/>
      <w:szCs w:val="21"/>
    </w:rPr>
  </w:style>
  <w:style w:type="character" w:styleId="32">
    <w:name w:val="HTML Cite"/>
    <w:basedOn w:val="23"/>
    <w:semiHidden/>
    <w:unhideWhenUsed/>
    <w:uiPriority w:val="99"/>
  </w:style>
  <w:style w:type="character" w:styleId="33">
    <w:name w:val="HTML Keyboard"/>
    <w:basedOn w:val="23"/>
    <w:semiHidden/>
    <w:unhideWhenUsed/>
    <w:uiPriority w:val="99"/>
    <w:rPr>
      <w:rFonts w:hint="default" w:ascii="Courier New" w:hAnsi="Courier New" w:eastAsia="Courier New" w:cs="Courier New"/>
      <w:sz w:val="24"/>
      <w:szCs w:val="24"/>
    </w:rPr>
  </w:style>
  <w:style w:type="character" w:styleId="34">
    <w:name w:val="HTML Sample"/>
    <w:basedOn w:val="23"/>
    <w:semiHidden/>
    <w:unhideWhenUsed/>
    <w:uiPriority w:val="99"/>
    <w:rPr>
      <w:rFonts w:hint="default" w:ascii="Courier New" w:hAnsi="Courier New" w:eastAsia="Courier New" w:cs="Courier New"/>
    </w:rPr>
  </w:style>
  <w:style w:type="table" w:styleId="36">
    <w:name w:val="Table Grid"/>
    <w:basedOn w:val="35"/>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页眉 Char"/>
    <w:basedOn w:val="23"/>
    <w:link w:val="18"/>
    <w:qFormat/>
    <w:uiPriority w:val="99"/>
    <w:rPr>
      <w:sz w:val="18"/>
      <w:szCs w:val="18"/>
    </w:rPr>
  </w:style>
  <w:style w:type="character" w:customStyle="1" w:styleId="38">
    <w:name w:val="页脚 Char"/>
    <w:basedOn w:val="23"/>
    <w:link w:val="17"/>
    <w:qFormat/>
    <w:uiPriority w:val="99"/>
    <w:rPr>
      <w:sz w:val="18"/>
      <w:szCs w:val="18"/>
    </w:rPr>
  </w:style>
  <w:style w:type="character" w:customStyle="1" w:styleId="39">
    <w:name w:val="标题 1 Char"/>
    <w:basedOn w:val="23"/>
    <w:link w:val="3"/>
    <w:qFormat/>
    <w:uiPriority w:val="9"/>
    <w:rPr>
      <w:rFonts w:ascii="@仿宋_GB2312" w:hAnsi="@仿宋_GB2312" w:eastAsia="@仿宋_GB2312" w:cs="@仿宋_GB2312"/>
      <w:b/>
      <w:bCs/>
      <w:kern w:val="44"/>
      <w:sz w:val="44"/>
      <w:szCs w:val="44"/>
    </w:rPr>
  </w:style>
  <w:style w:type="character" w:customStyle="1" w:styleId="40">
    <w:name w:val="标题 2 Char"/>
    <w:basedOn w:val="23"/>
    <w:link w:val="4"/>
    <w:semiHidden/>
    <w:uiPriority w:val="0"/>
    <w:rPr>
      <w:rFonts w:ascii="Arial" w:hAnsi="Arial" w:eastAsia="黑体" w:cs="Arial"/>
      <w:b/>
      <w:bCs/>
      <w:sz w:val="32"/>
      <w:szCs w:val="32"/>
    </w:rPr>
  </w:style>
  <w:style w:type="character" w:customStyle="1" w:styleId="41">
    <w:name w:val="标题 3 Char"/>
    <w:basedOn w:val="23"/>
    <w:link w:val="5"/>
    <w:semiHidden/>
    <w:qFormat/>
    <w:uiPriority w:val="9"/>
    <w:rPr>
      <w:rFonts w:ascii="@仿宋_GB2312" w:hAnsi="@仿宋_GB2312" w:eastAsia="@仿宋_GB2312" w:cs="@仿宋_GB2312"/>
      <w:b/>
      <w:bCs/>
      <w:sz w:val="32"/>
      <w:szCs w:val="32"/>
    </w:rPr>
  </w:style>
  <w:style w:type="character" w:customStyle="1" w:styleId="42">
    <w:name w:val="标题 4 Char"/>
    <w:basedOn w:val="23"/>
    <w:semiHidden/>
    <w:qFormat/>
    <w:uiPriority w:val="0"/>
    <w:rPr>
      <w:rFonts w:asciiTheme="majorHAnsi" w:hAnsiTheme="majorHAnsi" w:eastAsiaTheme="majorEastAsia" w:cstheme="majorBidi"/>
      <w:b/>
      <w:bCs/>
      <w:sz w:val="28"/>
      <w:szCs w:val="28"/>
    </w:rPr>
  </w:style>
  <w:style w:type="character" w:customStyle="1" w:styleId="43">
    <w:name w:val="批注文字 Char"/>
    <w:basedOn w:val="23"/>
    <w:link w:val="8"/>
    <w:semiHidden/>
    <w:qFormat/>
    <w:uiPriority w:val="0"/>
    <w:rPr>
      <w:rFonts w:ascii="@仿宋_GB2312" w:hAnsi="@仿宋_GB2312" w:eastAsia="@仿宋_GB2312" w:cs="@仿宋_GB2312"/>
      <w:szCs w:val="20"/>
    </w:rPr>
  </w:style>
  <w:style w:type="character" w:customStyle="1" w:styleId="44">
    <w:name w:val="正文文本 Char"/>
    <w:basedOn w:val="23"/>
    <w:link w:val="10"/>
    <w:semiHidden/>
    <w:uiPriority w:val="0"/>
    <w:rPr>
      <w:rFonts w:ascii="@仿宋_GB2312" w:hAnsi="@仿宋_GB2312" w:eastAsia="@仿宋_GB2312" w:cs="@仿宋_GB2312"/>
      <w:szCs w:val="20"/>
    </w:rPr>
  </w:style>
  <w:style w:type="character" w:customStyle="1" w:styleId="45">
    <w:name w:val="正文文本缩进 Char"/>
    <w:basedOn w:val="23"/>
    <w:link w:val="12"/>
    <w:semiHidden/>
    <w:uiPriority w:val="0"/>
    <w:rPr>
      <w:rFonts w:ascii="@仿宋_GB2312" w:hAnsi="@仿宋_GB2312" w:eastAsia="@仿宋_GB2312" w:cs="@仿宋_GB2312"/>
      <w:szCs w:val="20"/>
    </w:rPr>
  </w:style>
  <w:style w:type="character" w:customStyle="1" w:styleId="46">
    <w:name w:val="日期 Char"/>
    <w:basedOn w:val="23"/>
    <w:link w:val="15"/>
    <w:semiHidden/>
    <w:qFormat/>
    <w:uiPriority w:val="0"/>
    <w:rPr>
      <w:rFonts w:ascii="Arial" w:hAnsi="Arial" w:eastAsia="宋体" w:cs="Arial"/>
      <w:b/>
      <w:sz w:val="28"/>
      <w:szCs w:val="20"/>
    </w:rPr>
  </w:style>
  <w:style w:type="character" w:customStyle="1" w:styleId="47">
    <w:name w:val="正文首行缩进 Char"/>
    <w:basedOn w:val="44"/>
    <w:link w:val="9"/>
    <w:semiHidden/>
    <w:uiPriority w:val="99"/>
    <w:rPr>
      <w:rFonts w:ascii="@微软简标宋" w:hAnsi="@微软简标宋" w:eastAsia="@微软简标宋" w:cs="@微软简标宋"/>
      <w:szCs w:val="24"/>
      <w:lang w:val="zh-CN"/>
    </w:rPr>
  </w:style>
  <w:style w:type="character" w:customStyle="1" w:styleId="48">
    <w:name w:val="纯文本 Char"/>
    <w:basedOn w:val="23"/>
    <w:link w:val="14"/>
    <w:semiHidden/>
    <w:qFormat/>
    <w:uiPriority w:val="99"/>
    <w:rPr>
      <w:rFonts w:ascii="宋体" w:hAnsi="Courier New"/>
    </w:rPr>
  </w:style>
  <w:style w:type="character" w:customStyle="1" w:styleId="49">
    <w:name w:val="批注主题 Char"/>
    <w:basedOn w:val="43"/>
    <w:link w:val="7"/>
    <w:semiHidden/>
    <w:qFormat/>
    <w:uiPriority w:val="99"/>
    <w:rPr>
      <w:rFonts w:ascii="@仿宋_GB2312" w:hAnsi="@仿宋_GB2312" w:eastAsia="@仿宋_GB2312" w:cs="@仿宋_GB2312"/>
      <w:b/>
      <w:bCs/>
      <w:szCs w:val="20"/>
    </w:rPr>
  </w:style>
  <w:style w:type="character" w:customStyle="1" w:styleId="50">
    <w:name w:val="批注框文本 Char"/>
    <w:basedOn w:val="23"/>
    <w:link w:val="16"/>
    <w:semiHidden/>
    <w:qFormat/>
    <w:uiPriority w:val="99"/>
    <w:rPr>
      <w:rFonts w:ascii="@仿宋_GB2312" w:hAnsi="@仿宋_GB2312" w:eastAsia="@仿宋_GB2312" w:cs="@仿宋_GB2312"/>
      <w:sz w:val="18"/>
      <w:szCs w:val="18"/>
    </w:rPr>
  </w:style>
  <w:style w:type="paragraph" w:styleId="51">
    <w:name w:val="List Paragraph"/>
    <w:basedOn w:val="1"/>
    <w:qFormat/>
    <w:uiPriority w:val="34"/>
    <w:pPr>
      <w:ind w:firstLine="420" w:firstLineChars="200"/>
    </w:pPr>
  </w:style>
  <w:style w:type="paragraph" w:customStyle="1" w:styleId="52">
    <w:name w:val="正文（缩进）"/>
    <w:basedOn w:val="1"/>
    <w:qFormat/>
    <w:uiPriority w:val="0"/>
    <w:pPr>
      <w:widowControl/>
      <w:spacing w:before="156" w:after="156"/>
      <w:ind w:firstLine="480" w:firstLineChars="200"/>
      <w:jc w:val="left"/>
    </w:pPr>
    <w:rPr>
      <w:kern w:val="0"/>
      <w:sz w:val="24"/>
      <w:szCs w:val="24"/>
    </w:rPr>
  </w:style>
  <w:style w:type="paragraph" w:customStyle="1" w:styleId="53">
    <w:name w:val="xl31"/>
    <w:basedOn w:val="1"/>
    <w:qFormat/>
    <w:uiPriority w:val="0"/>
    <w:pPr>
      <w:widowControl/>
      <w:spacing w:before="100" w:beforeAutospacing="1" w:after="100" w:afterAutospacing="1"/>
      <w:jc w:val="center"/>
    </w:pPr>
    <w:rPr>
      <w:b/>
      <w:bCs/>
      <w:kern w:val="0"/>
      <w:sz w:val="28"/>
      <w:szCs w:val="28"/>
    </w:rPr>
  </w:style>
  <w:style w:type="paragraph" w:customStyle="1" w:styleId="54">
    <w:name w:val="D&amp;L"/>
    <w:basedOn w:val="18"/>
    <w:qFormat/>
    <w:uiPriority w:val="0"/>
    <w:pPr>
      <w:pBdr>
        <w:bottom w:val="thinThickSmallGap" w:color="auto" w:sz="18" w:space="1"/>
      </w:pBdr>
      <w:adjustRightInd w:val="0"/>
      <w:snapToGrid/>
      <w:spacing w:line="240" w:lineRule="atLeast"/>
    </w:pPr>
    <w:rPr>
      <w:kern w:val="0"/>
      <w:sz w:val="24"/>
      <w:szCs w:val="20"/>
    </w:rPr>
  </w:style>
  <w:style w:type="paragraph" w:customStyle="1" w:styleId="55">
    <w:name w:val="Char Char Char Char Char Char Char1 Char"/>
    <w:basedOn w:val="1"/>
    <w:qFormat/>
    <w:uiPriority w:val="0"/>
    <w:rPr>
      <w:rFonts w:ascii="Arial" w:hAnsi="Arial" w:eastAsia="宋体" w:cs="Arial"/>
      <w:sz w:val="24"/>
    </w:rPr>
  </w:style>
  <w:style w:type="paragraph" w:customStyle="1" w:styleId="56">
    <w:name w:val="TOC 标题1"/>
    <w:basedOn w:val="3"/>
    <w:next w:val="1"/>
    <w:semiHidden/>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57">
    <w:name w:val="Table Text"/>
    <w:basedOn w:val="1"/>
    <w:semiHidden/>
    <w:qFormat/>
    <w:uiPriority w:val="0"/>
    <w:rPr>
      <w:rFonts w:ascii="Arial" w:hAnsi="Arial" w:eastAsia="Arial" w:cs="Arial"/>
      <w:szCs w:val="21"/>
      <w:lang w:eastAsia="en-US"/>
    </w:rPr>
  </w:style>
  <w:style w:type="paragraph" w:customStyle="1" w:styleId="58">
    <w:name w:val="列出段落1"/>
    <w:basedOn w:val="1"/>
    <w:qFormat/>
    <w:uiPriority w:val="0"/>
    <w:pPr>
      <w:ind w:firstLine="420" w:firstLineChars="200"/>
    </w:pPr>
    <w:rPr>
      <w:szCs w:val="21"/>
    </w:rPr>
  </w:style>
  <w:style w:type="character" w:customStyle="1" w:styleId="59">
    <w:name w:val="纯文本 字符1"/>
    <w:basedOn w:val="23"/>
    <w:semiHidden/>
    <w:qFormat/>
    <w:uiPriority w:val="99"/>
    <w:rPr>
      <w:rFonts w:hint="eastAsia" w:hAnsi="Courier New" w:eastAsia="宋体" w:cs="Courier New" w:asciiTheme="minorEastAsia"/>
      <w:szCs w:val="20"/>
    </w:rPr>
  </w:style>
  <w:style w:type="character" w:customStyle="1" w:styleId="60">
    <w:name w:val="未处理的提及1"/>
    <w:basedOn w:val="23"/>
    <w:semiHidden/>
    <w:qFormat/>
    <w:uiPriority w:val="99"/>
    <w:rPr>
      <w:color w:val="605E5C"/>
      <w:shd w:val="clear" w:color="auto" w:fill="E1DFDD"/>
    </w:rPr>
  </w:style>
  <w:style w:type="character" w:customStyle="1" w:styleId="61">
    <w:name w:val="日期 字符"/>
    <w:basedOn w:val="23"/>
    <w:semiHidden/>
    <w:qFormat/>
    <w:uiPriority w:val="99"/>
    <w:rPr>
      <w:rFonts w:hint="eastAsia" w:ascii="@仿宋_GB2312" w:hAnsi="@仿宋_GB2312" w:eastAsia="@仿宋_GB2312" w:cs="@仿宋_GB2312"/>
      <w:szCs w:val="20"/>
    </w:rPr>
  </w:style>
  <w:style w:type="character" w:customStyle="1" w:styleId="62">
    <w:name w:val="纯文本 Char1"/>
    <w:qFormat/>
    <w:locked/>
    <w:uiPriority w:val="99"/>
    <w:rPr>
      <w:rFonts w:hint="default" w:ascii="Arial" w:hAnsi="Arial" w:eastAsia="Arial" w:cs="Arial"/>
      <w:kern w:val="2"/>
      <w:sz w:val="21"/>
      <w:lang w:val="en-US" w:eastAsia="zh-CN" w:bidi="ar-SA"/>
    </w:rPr>
  </w:style>
  <w:style w:type="character" w:customStyle="1" w:styleId="63">
    <w:name w:val="批注文字 Char1"/>
    <w:qFormat/>
    <w:uiPriority w:val="0"/>
    <w:rPr>
      <w:rFonts w:hint="default" w:ascii="Arial" w:hAnsi="Arial" w:eastAsia="黑体" w:cs="Arial"/>
      <w:szCs w:val="20"/>
    </w:rPr>
  </w:style>
  <w:style w:type="character" w:customStyle="1" w:styleId="64">
    <w:name w:val="fontstyle01"/>
    <w:basedOn w:val="23"/>
    <w:qFormat/>
    <w:uiPriority w:val="0"/>
    <w:rPr>
      <w:rFonts w:hint="eastAsia" w:ascii="宋体" w:hAnsi="宋体" w:eastAsia="宋体"/>
      <w:color w:val="000000"/>
      <w:sz w:val="22"/>
      <w:szCs w:val="22"/>
    </w:rPr>
  </w:style>
  <w:style w:type="character" w:customStyle="1" w:styleId="65">
    <w:name w:val="fontstyle21"/>
    <w:basedOn w:val="23"/>
    <w:qFormat/>
    <w:uiPriority w:val="0"/>
    <w:rPr>
      <w:rFonts w:hint="default" w:ascii="TimesNewRomanPSMT" w:hAnsi="TimesNewRomanPSMT"/>
      <w:color w:val="000000"/>
      <w:sz w:val="22"/>
      <w:szCs w:val="22"/>
    </w:rPr>
  </w:style>
  <w:style w:type="character" w:customStyle="1" w:styleId="66">
    <w:name w:val="正文文本 (2) + Sylfaen2"/>
    <w:qFormat/>
    <w:uiPriority w:val="99"/>
    <w:rPr>
      <w:rFonts w:hint="default" w:ascii="Sylfaen" w:hAnsi="Sylfaen" w:eastAsia="MingLiU" w:cs="Sylfaen"/>
      <w:spacing w:val="0"/>
      <w:sz w:val="23"/>
      <w:szCs w:val="23"/>
      <w:shd w:val="clear" w:color="auto" w:fill="FFFFFF"/>
      <w:lang w:val="en-US" w:eastAsia="en-US"/>
    </w:rPr>
  </w:style>
  <w:style w:type="character" w:customStyle="1" w:styleId="67">
    <w:name w:val="标题 4 字符"/>
    <w:basedOn w:val="23"/>
    <w:semiHidden/>
    <w:qFormat/>
    <w:uiPriority w:val="9"/>
    <w:rPr>
      <w:rFonts w:hint="default" w:asciiTheme="majorHAnsi" w:hAnsiTheme="majorHAnsi" w:eastAsiaTheme="majorEastAsia" w:cstheme="majorBidi"/>
      <w:b/>
      <w:bCs/>
      <w:sz w:val="28"/>
      <w:szCs w:val="28"/>
    </w:rPr>
  </w:style>
  <w:style w:type="character" w:customStyle="1" w:styleId="68">
    <w:name w:val="标题 4 Char1"/>
    <w:link w:val="6"/>
    <w:semiHidden/>
    <w:qFormat/>
    <w:locked/>
    <w:uiPriority w:val="0"/>
    <w:rPr>
      <w:rFonts w:ascii="@仿宋_GB2312" w:hAnsi="@仿宋_GB2312" w:eastAsia="@仿宋_GB2312" w:cs="@仿宋_GB2312"/>
      <w:b/>
      <w:bCs/>
      <w:sz w:val="28"/>
      <w:szCs w:val="28"/>
    </w:rPr>
  </w:style>
  <w:style w:type="character" w:customStyle="1" w:styleId="69">
    <w:name w:val="hover"/>
    <w:basedOn w:val="23"/>
    <w:uiPriority w:val="0"/>
    <w:rPr>
      <w:color w:val="2590EB"/>
    </w:rPr>
  </w:style>
  <w:style w:type="character" w:customStyle="1" w:styleId="70">
    <w:name w:val="hover1"/>
    <w:basedOn w:val="23"/>
    <w:uiPriority w:val="0"/>
    <w:rPr>
      <w:color w:val="2590EB"/>
    </w:rPr>
  </w:style>
  <w:style w:type="character" w:customStyle="1" w:styleId="71">
    <w:name w:val="hover2"/>
    <w:basedOn w:val="23"/>
    <w:uiPriority w:val="0"/>
  </w:style>
  <w:style w:type="character" w:customStyle="1" w:styleId="72">
    <w:name w:val="hover3"/>
    <w:basedOn w:val="23"/>
    <w:uiPriority w:val="0"/>
    <w:rPr>
      <w:color w:val="2590EB"/>
      <w:shd w:val="clear" w:color="auto" w:fill="E9F4FD"/>
    </w:rPr>
  </w:style>
  <w:style w:type="character" w:customStyle="1" w:styleId="73">
    <w:name w:val="mini-outputtext1"/>
    <w:basedOn w:val="23"/>
    <w:uiPriority w:val="0"/>
  </w:style>
  <w:style w:type="character" w:customStyle="1" w:styleId="74">
    <w:name w:val="font141"/>
    <w:basedOn w:val="23"/>
    <w:qFormat/>
    <w:uiPriority w:val="0"/>
    <w:rPr>
      <w:rFonts w:hint="eastAsia" w:ascii="宋体" w:hAnsi="宋体" w:eastAsia="宋体" w:cs="宋体"/>
      <w:color w:val="0070C0"/>
      <w:sz w:val="18"/>
      <w:szCs w:val="18"/>
      <w:u w:val="none"/>
    </w:rPr>
  </w:style>
  <w:style w:type="character" w:customStyle="1" w:styleId="75">
    <w:name w:val="font131"/>
    <w:basedOn w:val="23"/>
    <w:qFormat/>
    <w:uiPriority w:val="0"/>
    <w:rPr>
      <w:rFonts w:hint="eastAsia" w:ascii="宋体" w:hAnsi="宋体" w:eastAsia="宋体" w:cs="宋体"/>
      <w:color w:val="auto"/>
      <w:sz w:val="18"/>
      <w:szCs w:val="18"/>
      <w:u w:val="none"/>
    </w:rPr>
  </w:style>
  <w:style w:type="character" w:customStyle="1" w:styleId="76">
    <w:name w:val="font101"/>
    <w:basedOn w:val="23"/>
    <w:qFormat/>
    <w:uiPriority w:val="0"/>
    <w:rPr>
      <w:rFonts w:hint="eastAsia" w:ascii="宋体" w:hAnsi="宋体" w:eastAsia="宋体" w:cs="宋体"/>
      <w:color w:val="0070C0"/>
      <w:sz w:val="18"/>
      <w:szCs w:val="18"/>
      <w:u w:val="none"/>
    </w:rPr>
  </w:style>
  <w:style w:type="character" w:customStyle="1" w:styleId="77">
    <w:name w:val="font51"/>
    <w:basedOn w:val="23"/>
    <w:qFormat/>
    <w:uiPriority w:val="0"/>
    <w:rPr>
      <w:rFonts w:hint="eastAsia" w:ascii="宋体" w:hAnsi="宋体" w:eastAsia="宋体" w:cs="宋体"/>
      <w:color w:val="auto"/>
      <w:sz w:val="18"/>
      <w:szCs w:val="18"/>
      <w:u w:val="none"/>
    </w:rPr>
  </w:style>
  <w:style w:type="character" w:customStyle="1" w:styleId="78">
    <w:name w:val="font111"/>
    <w:basedOn w:val="23"/>
    <w:qFormat/>
    <w:uiPriority w:val="0"/>
    <w:rPr>
      <w:rFonts w:hint="eastAsia" w:ascii="宋体" w:hAnsi="宋体" w:eastAsia="宋体" w:cs="宋体"/>
      <w:color w:val="C00000"/>
      <w:sz w:val="18"/>
      <w:szCs w:val="18"/>
      <w:u w:val="none"/>
    </w:rPr>
  </w:style>
  <w:style w:type="character" w:customStyle="1" w:styleId="79">
    <w:name w:val="font151"/>
    <w:basedOn w:val="23"/>
    <w:qFormat/>
    <w:uiPriority w:val="0"/>
    <w:rPr>
      <w:rFonts w:hint="eastAsia" w:ascii="宋体" w:hAnsi="宋体" w:eastAsia="宋体" w:cs="宋体"/>
      <w:color w:val="C00000"/>
      <w:sz w:val="18"/>
      <w:szCs w:val="18"/>
      <w:u w:val="none"/>
    </w:rPr>
  </w:style>
  <w:style w:type="character" w:customStyle="1" w:styleId="80">
    <w:name w:val="font161"/>
    <w:basedOn w:val="23"/>
    <w:qFormat/>
    <w:uiPriority w:val="0"/>
    <w:rPr>
      <w:rFonts w:hint="eastAsia" w:ascii="宋体" w:hAnsi="宋体" w:eastAsia="宋体" w:cs="宋体"/>
      <w:color w:val="00B050"/>
      <w:sz w:val="18"/>
      <w:szCs w:val="18"/>
      <w:u w:val="none"/>
    </w:rPr>
  </w:style>
  <w:style w:type="character" w:customStyle="1" w:styleId="81">
    <w:name w:val="font61"/>
    <w:basedOn w:val="23"/>
    <w:qFormat/>
    <w:uiPriority w:val="0"/>
    <w:rPr>
      <w:rFonts w:hint="eastAsia" w:ascii="宋体" w:hAnsi="宋体" w:eastAsia="宋体" w:cs="宋体"/>
      <w:color w:val="FF0000"/>
      <w:sz w:val="18"/>
      <w:szCs w:val="18"/>
      <w:u w:val="none"/>
    </w:rPr>
  </w:style>
  <w:style w:type="character" w:customStyle="1" w:styleId="82">
    <w:name w:val="font71"/>
    <w:basedOn w:val="23"/>
    <w:qFormat/>
    <w:uiPriority w:val="0"/>
    <w:rPr>
      <w:rFonts w:hint="eastAsia" w:ascii="宋体" w:hAnsi="宋体" w:eastAsia="宋体" w:cs="宋体"/>
      <w:color w:val="000000"/>
      <w:sz w:val="22"/>
      <w:szCs w:val="22"/>
      <w:u w:val="none"/>
    </w:rPr>
  </w:style>
  <w:style w:type="table" w:customStyle="1" w:styleId="83">
    <w:name w:val="网格表 1 浅色1"/>
    <w:basedOn w:val="35"/>
    <w:qFormat/>
    <w:uiPriority w:val="46"/>
    <w:rPr>
      <w:rFonts w:ascii="Times New Roman" w:hAnsi="Times New Roman" w:eastAsia="宋体"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fixed"/>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4">
    <w:name w:val="网格型1"/>
    <w:basedOn w:val="35"/>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5">
    <w:name w:val="Table Normal"/>
    <w:semiHidden/>
    <w:qFormat/>
    <w:uiPriority w:val="0"/>
    <w:rPr>
      <w:rFonts w:ascii="Times New Roman" w:hAnsi="Times New Roman" w:eastAsia="宋体" w:cs="Times New Roman"/>
      <w:kern w:val="0"/>
      <w:sz w:val="20"/>
      <w:szCs w:val="20"/>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77</Pages>
  <Words>14223</Words>
  <Characters>81075</Characters>
  <Lines>675</Lines>
  <Paragraphs>190</Paragraphs>
  <TotalTime>0</TotalTime>
  <ScaleCrop>false</ScaleCrop>
  <LinksUpToDate>false</LinksUpToDate>
  <CharactersWithSpaces>95108</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2025-09-29T11:09:00Z</dcterms:created>
  <dc:creator>xull</dc:creator>
  <cp:lastModifiedBy>XLL</cp:lastModifiedBy>
  <dcterms:modified xsi:type="dcterms:W3CDTF">2025-09-30T08:06:55Z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